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E4" w:rsidRPr="00C42AF6" w:rsidRDefault="009738A7" w:rsidP="00294C27">
      <w:pPr>
        <w:jc w:val="center"/>
        <w:rPr>
          <w:rFonts w:ascii="Calibri" w:hAnsi="Calibri"/>
          <w:b/>
          <w:sz w:val="22"/>
          <w:szCs w:val="22"/>
        </w:rPr>
      </w:pPr>
      <w:r>
        <w:rPr>
          <w:rFonts w:ascii="Calibri" w:hAnsi="Calibri"/>
          <w:noProof/>
          <w:sz w:val="22"/>
          <w:szCs w:val="22"/>
        </w:rPr>
        <w:drawing>
          <wp:inline distT="0" distB="0" distL="0" distR="0">
            <wp:extent cx="1905000" cy="666750"/>
            <wp:effectExtent l="19050" t="0" r="0" b="0"/>
            <wp:docPr id="1" name="Picture 2" descr="C:\Users\wb347190\Desktop\CA Logos\CA_Logo_200x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b347190\Desktop\CA Logos\CA_Logo_200x70.png"/>
                    <pic:cNvPicPr>
                      <a:picLocks noChangeAspect="1" noChangeArrowheads="1"/>
                    </pic:cNvPicPr>
                  </pic:nvPicPr>
                  <pic:blipFill>
                    <a:blip r:embed="rId8" cstate="print"/>
                    <a:srcRect/>
                    <a:stretch>
                      <a:fillRect/>
                    </a:stretch>
                  </pic:blipFill>
                  <pic:spPr bwMode="auto">
                    <a:xfrm>
                      <a:off x="0" y="0"/>
                      <a:ext cx="1905000" cy="666750"/>
                    </a:xfrm>
                    <a:prstGeom prst="rect">
                      <a:avLst/>
                    </a:prstGeom>
                    <a:noFill/>
                    <a:ln w="9525">
                      <a:noFill/>
                      <a:miter lim="800000"/>
                      <a:headEnd/>
                      <a:tailEnd/>
                    </a:ln>
                  </pic:spPr>
                </pic:pic>
              </a:graphicData>
            </a:graphic>
          </wp:inline>
        </w:drawing>
      </w:r>
    </w:p>
    <w:p w:rsidR="004A6AE4" w:rsidRPr="00C42AF6" w:rsidRDefault="004A6AE4" w:rsidP="00294C27">
      <w:pPr>
        <w:jc w:val="center"/>
        <w:rPr>
          <w:rFonts w:ascii="Calibri" w:hAnsi="Calibri"/>
          <w:b/>
          <w:sz w:val="22"/>
          <w:szCs w:val="22"/>
        </w:rPr>
      </w:pPr>
    </w:p>
    <w:p w:rsidR="00F30579" w:rsidRPr="00CD3572" w:rsidRDefault="00294C27" w:rsidP="00294C27">
      <w:pPr>
        <w:jc w:val="center"/>
        <w:rPr>
          <w:rFonts w:ascii="Calibri" w:hAnsi="Calibri"/>
          <w:b/>
          <w:sz w:val="40"/>
          <w:szCs w:val="40"/>
        </w:rPr>
      </w:pPr>
      <w:r w:rsidRPr="00CD3572">
        <w:rPr>
          <w:rFonts w:ascii="Calibri" w:hAnsi="Calibri"/>
          <w:b/>
          <w:sz w:val="40"/>
          <w:szCs w:val="40"/>
        </w:rPr>
        <w:t xml:space="preserve">Joint Work </w:t>
      </w:r>
      <w:proofErr w:type="spellStart"/>
      <w:r w:rsidRPr="00CD3572">
        <w:rPr>
          <w:rFonts w:ascii="Calibri" w:hAnsi="Calibri"/>
          <w:b/>
          <w:sz w:val="40"/>
          <w:szCs w:val="40"/>
        </w:rPr>
        <w:t>Programme</w:t>
      </w:r>
      <w:proofErr w:type="spellEnd"/>
    </w:p>
    <w:p w:rsidR="00294C27" w:rsidRPr="00C42AF6" w:rsidRDefault="00294C27" w:rsidP="00294C27">
      <w:pPr>
        <w:jc w:val="center"/>
        <w:rPr>
          <w:rFonts w:ascii="Calibri" w:hAnsi="Calibri"/>
          <w:sz w:val="22"/>
          <w:szCs w:val="22"/>
        </w:rPr>
      </w:pPr>
    </w:p>
    <w:p w:rsidR="00294C27" w:rsidRPr="00C42AF6" w:rsidRDefault="00294C27">
      <w:pPr>
        <w:rPr>
          <w:rFonts w:ascii="Calibri" w:hAnsi="Calibri"/>
          <w:sz w:val="22"/>
          <w:szCs w:val="22"/>
        </w:rPr>
      </w:pPr>
    </w:p>
    <w:p w:rsidR="00B742F9" w:rsidRPr="00C42AF6" w:rsidRDefault="00C12789" w:rsidP="00123AE0">
      <w:pPr>
        <w:tabs>
          <w:tab w:val="left" w:pos="6315"/>
        </w:tabs>
        <w:rPr>
          <w:rFonts w:ascii="Calibri" w:hAnsi="Calibri"/>
          <w:b/>
          <w:sz w:val="22"/>
          <w:szCs w:val="22"/>
          <w:u w:val="single"/>
        </w:rPr>
      </w:pPr>
      <w:r w:rsidRPr="00C42AF6">
        <w:rPr>
          <w:rFonts w:ascii="Calibri" w:hAnsi="Calibri"/>
          <w:b/>
          <w:sz w:val="22"/>
          <w:szCs w:val="22"/>
          <w:u w:val="single"/>
        </w:rPr>
        <w:t xml:space="preserve">1.) </w:t>
      </w:r>
      <w:r w:rsidR="00294C27" w:rsidRPr="00C42AF6">
        <w:rPr>
          <w:rFonts w:ascii="Calibri" w:hAnsi="Calibri"/>
          <w:b/>
          <w:sz w:val="22"/>
          <w:szCs w:val="22"/>
          <w:u w:val="single"/>
        </w:rPr>
        <w:t>Name of Activity:</w:t>
      </w:r>
      <w:r w:rsidR="00502D4A">
        <w:rPr>
          <w:rFonts w:ascii="Calibri" w:hAnsi="Calibri"/>
          <w:b/>
          <w:sz w:val="22"/>
          <w:szCs w:val="22"/>
          <w:u w:val="single"/>
        </w:rPr>
        <w:t xml:space="preserve"> </w:t>
      </w:r>
      <w:r w:rsidR="00502D4A" w:rsidRPr="00502D4A">
        <w:rPr>
          <w:rFonts w:ascii="Calibri" w:hAnsi="Calibri"/>
          <w:b/>
          <w:sz w:val="22"/>
          <w:szCs w:val="22"/>
        </w:rPr>
        <w:t xml:space="preserve">Creating enabling environments for sustainable urbanization </w:t>
      </w:r>
    </w:p>
    <w:p w:rsidR="00294C27" w:rsidRPr="00C42AF6" w:rsidRDefault="00294C27">
      <w:pPr>
        <w:rPr>
          <w:rFonts w:ascii="Calibri" w:hAnsi="Calibri"/>
          <w:sz w:val="22"/>
          <w:szCs w:val="22"/>
        </w:rPr>
      </w:pPr>
    </w:p>
    <w:p w:rsidR="00294C27" w:rsidRPr="00C42AF6" w:rsidRDefault="00294C27">
      <w:pPr>
        <w:rPr>
          <w:rFonts w:ascii="Calibri" w:hAnsi="Calibri"/>
          <w:sz w:val="22"/>
          <w:szCs w:val="22"/>
          <w:u w:val="single"/>
        </w:rPr>
      </w:pP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p>
    <w:p w:rsidR="00294C27" w:rsidRPr="00C42AF6" w:rsidRDefault="00294C27">
      <w:pPr>
        <w:rPr>
          <w:rFonts w:ascii="Calibri" w:hAnsi="Calibri"/>
          <w:sz w:val="22"/>
          <w:szCs w:val="22"/>
        </w:rPr>
      </w:pPr>
    </w:p>
    <w:p w:rsidR="00294C27" w:rsidRPr="00C42AF6" w:rsidRDefault="00C12789">
      <w:pPr>
        <w:rPr>
          <w:rFonts w:ascii="Calibri" w:hAnsi="Calibri"/>
          <w:b/>
          <w:sz w:val="22"/>
          <w:szCs w:val="22"/>
          <w:u w:val="single"/>
        </w:rPr>
      </w:pPr>
      <w:r w:rsidRPr="00C42AF6">
        <w:rPr>
          <w:rFonts w:ascii="Calibri" w:hAnsi="Calibri"/>
          <w:b/>
          <w:sz w:val="22"/>
          <w:szCs w:val="22"/>
          <w:u w:val="single"/>
        </w:rPr>
        <w:t xml:space="preserve">2.) </w:t>
      </w:r>
      <w:r w:rsidR="00294C27" w:rsidRPr="00C42AF6">
        <w:rPr>
          <w:rFonts w:ascii="Calibri" w:hAnsi="Calibri"/>
          <w:b/>
          <w:sz w:val="22"/>
          <w:szCs w:val="22"/>
          <w:u w:val="single"/>
        </w:rPr>
        <w:t>Joint Implementation Partners:</w:t>
      </w:r>
      <w:r w:rsidR="00294C27" w:rsidRPr="00C42AF6">
        <w:rPr>
          <w:rFonts w:ascii="Calibri" w:hAnsi="Calibri"/>
          <w:sz w:val="22"/>
          <w:szCs w:val="22"/>
          <w:u w:val="single"/>
        </w:rPr>
        <w:t xml:space="preserve">    </w:t>
      </w:r>
    </w:p>
    <w:p w:rsidR="00294C27" w:rsidRPr="00C42AF6" w:rsidRDefault="00547435" w:rsidP="006E6CBB">
      <w:pPr>
        <w:spacing w:before="120"/>
        <w:rPr>
          <w:rFonts w:ascii="Calibri" w:hAnsi="Calibri"/>
          <w:sz w:val="22"/>
          <w:szCs w:val="22"/>
        </w:rPr>
      </w:pPr>
      <w:r w:rsidRPr="00C42AF6">
        <w:rPr>
          <w:rFonts w:ascii="Calibri" w:hAnsi="Calibri"/>
          <w:sz w:val="22"/>
          <w:szCs w:val="22"/>
        </w:rPr>
        <w:t>Organization</w:t>
      </w:r>
      <w:r w:rsidR="00515DFE" w:rsidRPr="00C42AF6">
        <w:rPr>
          <w:rFonts w:ascii="Calibri" w:hAnsi="Calibri"/>
          <w:sz w:val="22"/>
          <w:szCs w:val="22"/>
        </w:rPr>
        <w:t xml:space="preserve">: </w:t>
      </w:r>
      <w:r w:rsidR="00C64102" w:rsidRPr="00C64102">
        <w:rPr>
          <w:rFonts w:ascii="Calibri" w:hAnsi="Calibri"/>
          <w:sz w:val="22"/>
          <w:szCs w:val="22"/>
        </w:rPr>
        <w:t xml:space="preserve">United Cities </w:t>
      </w:r>
      <w:proofErr w:type="gramStart"/>
      <w:r w:rsidR="00C64102" w:rsidRPr="00C64102">
        <w:rPr>
          <w:rFonts w:ascii="Calibri" w:hAnsi="Calibri"/>
          <w:sz w:val="22"/>
          <w:szCs w:val="22"/>
        </w:rPr>
        <w:t>And</w:t>
      </w:r>
      <w:proofErr w:type="gramEnd"/>
      <w:r w:rsidR="00C64102" w:rsidRPr="00C64102">
        <w:rPr>
          <w:rFonts w:ascii="Calibri" w:hAnsi="Calibri"/>
          <w:sz w:val="22"/>
          <w:szCs w:val="22"/>
        </w:rPr>
        <w:t xml:space="preserve"> Local Governments of Africa</w:t>
      </w:r>
    </w:p>
    <w:p w:rsidR="00294C27" w:rsidRPr="00C42AF6" w:rsidRDefault="003753A9">
      <w:pPr>
        <w:rPr>
          <w:rFonts w:ascii="Calibri" w:hAnsi="Calibri"/>
          <w:sz w:val="22"/>
          <w:szCs w:val="22"/>
        </w:rPr>
      </w:pPr>
      <w:r w:rsidRPr="00C42AF6">
        <w:rPr>
          <w:rFonts w:ascii="Calibri" w:hAnsi="Calibri"/>
          <w:sz w:val="22"/>
          <w:szCs w:val="22"/>
        </w:rPr>
        <w:t>Contact P</w:t>
      </w:r>
      <w:r w:rsidR="00515DFE" w:rsidRPr="00C42AF6">
        <w:rPr>
          <w:rFonts w:ascii="Calibri" w:hAnsi="Calibri"/>
          <w:sz w:val="22"/>
          <w:szCs w:val="22"/>
        </w:rPr>
        <w:t>erson:</w:t>
      </w:r>
      <w:r w:rsidR="00123AE0" w:rsidRPr="00C42AF6" w:rsidDel="00123AE0">
        <w:rPr>
          <w:rFonts w:ascii="Calibri" w:hAnsi="Calibri"/>
          <w:sz w:val="22"/>
          <w:szCs w:val="22"/>
        </w:rPr>
        <w:t xml:space="preserve"> </w:t>
      </w:r>
      <w:r w:rsidR="00294C27" w:rsidRPr="00C42AF6">
        <w:rPr>
          <w:rFonts w:ascii="Calibri" w:hAnsi="Calibri"/>
          <w:sz w:val="22"/>
          <w:szCs w:val="22"/>
        </w:rPr>
        <w:t>Contact phone/ email:</w:t>
      </w:r>
      <w:r w:rsidR="00515DFE" w:rsidRPr="00C42AF6">
        <w:rPr>
          <w:rFonts w:ascii="Calibri" w:hAnsi="Calibri"/>
          <w:sz w:val="22"/>
          <w:szCs w:val="22"/>
        </w:rPr>
        <w:t xml:space="preserve"> </w:t>
      </w:r>
      <w:r w:rsidR="00D0340A" w:rsidRPr="00D0340A">
        <w:rPr>
          <w:rFonts w:ascii="Calibri" w:hAnsi="Calibri"/>
          <w:sz w:val="22"/>
          <w:szCs w:val="22"/>
        </w:rPr>
        <w:t xml:space="preserve">Jean Pierre </w:t>
      </w:r>
      <w:proofErr w:type="spellStart"/>
      <w:r w:rsidR="00D0340A" w:rsidRPr="00D0340A">
        <w:rPr>
          <w:rFonts w:ascii="Calibri" w:hAnsi="Calibri"/>
          <w:sz w:val="22"/>
          <w:szCs w:val="22"/>
        </w:rPr>
        <w:t>Elong</w:t>
      </w:r>
      <w:proofErr w:type="spellEnd"/>
      <w:r w:rsidR="00D0340A" w:rsidRPr="00D0340A">
        <w:rPr>
          <w:rFonts w:ascii="Calibri" w:hAnsi="Calibri"/>
          <w:sz w:val="22"/>
          <w:szCs w:val="22"/>
        </w:rPr>
        <w:t xml:space="preserve"> </w:t>
      </w:r>
      <w:proofErr w:type="spellStart"/>
      <w:r w:rsidR="00D0340A" w:rsidRPr="00D0340A">
        <w:rPr>
          <w:rFonts w:ascii="Calibri" w:hAnsi="Calibri"/>
          <w:sz w:val="22"/>
          <w:szCs w:val="22"/>
        </w:rPr>
        <w:t>Mbassi</w:t>
      </w:r>
      <w:proofErr w:type="spellEnd"/>
      <w:r w:rsidR="00D0340A">
        <w:rPr>
          <w:rFonts w:ascii="Calibri" w:hAnsi="Calibri"/>
          <w:sz w:val="22"/>
          <w:szCs w:val="22"/>
        </w:rPr>
        <w:t xml:space="preserve">, Secretary General </w:t>
      </w:r>
    </w:p>
    <w:p w:rsidR="00294C27" w:rsidRPr="00C42AF6" w:rsidRDefault="00C64102" w:rsidP="00294C27">
      <w:pPr>
        <w:rPr>
          <w:rFonts w:ascii="Calibri" w:hAnsi="Calibri"/>
          <w:sz w:val="22"/>
          <w:szCs w:val="22"/>
        </w:rPr>
      </w:pPr>
      <w:proofErr w:type="spellStart"/>
      <w:r w:rsidRPr="00C64102">
        <w:rPr>
          <w:rFonts w:ascii="Calibri" w:hAnsi="Calibri"/>
          <w:sz w:val="22"/>
          <w:szCs w:val="22"/>
        </w:rPr>
        <w:t>Organisation</w:t>
      </w:r>
      <w:proofErr w:type="spellEnd"/>
      <w:r w:rsidRPr="00C64102">
        <w:rPr>
          <w:rFonts w:ascii="Calibri" w:hAnsi="Calibri"/>
          <w:sz w:val="22"/>
          <w:szCs w:val="22"/>
        </w:rPr>
        <w:t xml:space="preserve">: Contact Person: </w:t>
      </w:r>
      <w:r w:rsidR="00926CC7" w:rsidRPr="00C42AF6">
        <w:rPr>
          <w:rFonts w:ascii="Calibri" w:hAnsi="Calibri"/>
          <w:sz w:val="22"/>
          <w:szCs w:val="22"/>
        </w:rPr>
        <w:t xml:space="preserve">Contact phone/ email: </w:t>
      </w:r>
      <w:hyperlink r:id="rId9" w:history="1">
        <w:r w:rsidR="00D0340A" w:rsidRPr="00D0340A">
          <w:rPr>
            <w:rStyle w:val="Hyperlink"/>
            <w:rFonts w:ascii="Calibri" w:hAnsi="Calibri"/>
            <w:sz w:val="22"/>
            <w:szCs w:val="22"/>
          </w:rPr>
          <w:t>elongmbassi@yahoo.fr</w:t>
        </w:r>
      </w:hyperlink>
      <w:r w:rsidR="00D0340A">
        <w:rPr>
          <w:rFonts w:ascii="Calibri" w:hAnsi="Calibri"/>
          <w:sz w:val="22"/>
          <w:szCs w:val="22"/>
        </w:rPr>
        <w:t xml:space="preserve"> </w:t>
      </w:r>
    </w:p>
    <w:p w:rsidR="00294C27" w:rsidRPr="00C42AF6" w:rsidRDefault="00294C27">
      <w:pPr>
        <w:rPr>
          <w:rFonts w:ascii="Calibri" w:hAnsi="Calibri"/>
          <w:sz w:val="22"/>
          <w:szCs w:val="22"/>
        </w:rPr>
      </w:pPr>
    </w:p>
    <w:p w:rsidR="008C7EA1" w:rsidRPr="00E5063C" w:rsidRDefault="00C64102" w:rsidP="008C7EA1">
      <w:pPr>
        <w:rPr>
          <w:rFonts w:ascii="Calibri" w:hAnsi="Calibri"/>
          <w:sz w:val="22"/>
          <w:szCs w:val="22"/>
        </w:rPr>
      </w:pPr>
      <w:proofErr w:type="spellStart"/>
      <w:r w:rsidRPr="00C64102">
        <w:rPr>
          <w:rFonts w:ascii="Calibri" w:hAnsi="Calibri"/>
          <w:sz w:val="22"/>
          <w:szCs w:val="22"/>
        </w:rPr>
        <w:t>Organisation</w:t>
      </w:r>
      <w:proofErr w:type="spellEnd"/>
      <w:r w:rsidRPr="00C64102">
        <w:rPr>
          <w:rFonts w:ascii="Calibri" w:hAnsi="Calibri"/>
          <w:sz w:val="22"/>
          <w:szCs w:val="22"/>
        </w:rPr>
        <w:t xml:space="preserve">: Cities Alliance </w:t>
      </w:r>
    </w:p>
    <w:p w:rsidR="008C7EA1" w:rsidRPr="00C42AF6" w:rsidRDefault="00C64102">
      <w:pPr>
        <w:rPr>
          <w:rFonts w:ascii="Calibri" w:hAnsi="Calibri"/>
          <w:sz w:val="22"/>
          <w:szCs w:val="22"/>
        </w:rPr>
      </w:pPr>
      <w:r w:rsidRPr="00C64102">
        <w:rPr>
          <w:rFonts w:ascii="Calibri" w:hAnsi="Calibri"/>
          <w:sz w:val="22"/>
          <w:szCs w:val="22"/>
        </w:rPr>
        <w:t>Contact Person</w:t>
      </w:r>
      <w:r w:rsidR="008C7EA1" w:rsidRPr="00C42AF6">
        <w:rPr>
          <w:rFonts w:ascii="Calibri" w:hAnsi="Calibri"/>
          <w:sz w:val="22"/>
          <w:szCs w:val="22"/>
        </w:rPr>
        <w:t xml:space="preserve">: </w:t>
      </w:r>
      <w:r w:rsidR="00D0340A">
        <w:rPr>
          <w:rFonts w:ascii="Calibri" w:hAnsi="Calibri"/>
          <w:sz w:val="22"/>
          <w:szCs w:val="22"/>
        </w:rPr>
        <w:t xml:space="preserve">Kevin Milroy, Deputy Program Manager </w:t>
      </w:r>
    </w:p>
    <w:p w:rsidR="00123AE0" w:rsidRPr="00E5063C" w:rsidRDefault="00123AE0" w:rsidP="00123AE0">
      <w:pPr>
        <w:rPr>
          <w:rFonts w:ascii="Calibri" w:hAnsi="Calibri"/>
          <w:sz w:val="22"/>
          <w:szCs w:val="22"/>
          <w:lang w:val="fr-FR"/>
        </w:rPr>
      </w:pPr>
      <w:r w:rsidRPr="00C42AF6">
        <w:rPr>
          <w:rFonts w:ascii="Calibri" w:hAnsi="Calibri"/>
          <w:sz w:val="22"/>
          <w:szCs w:val="22"/>
          <w:lang w:val="fr-FR"/>
        </w:rPr>
        <w:t xml:space="preserve">Organisation: Contact Person: </w:t>
      </w:r>
      <w:r w:rsidR="00C64102" w:rsidRPr="00C64102">
        <w:rPr>
          <w:rFonts w:ascii="Calibri" w:hAnsi="Calibri"/>
          <w:sz w:val="22"/>
          <w:szCs w:val="22"/>
          <w:lang w:val="fr-FR"/>
        </w:rPr>
        <w:t xml:space="preserve">Contact phone/ email: </w:t>
      </w:r>
      <w:hyperlink r:id="rId10" w:history="1">
        <w:r w:rsidR="00C64102" w:rsidRPr="00C64102">
          <w:rPr>
            <w:rStyle w:val="Hyperlink"/>
            <w:rFonts w:ascii="Calibri" w:hAnsi="Calibri"/>
            <w:sz w:val="22"/>
            <w:szCs w:val="22"/>
            <w:lang w:val="fr-FR"/>
          </w:rPr>
          <w:t>kmilroy@citiesalliance.org</w:t>
        </w:r>
      </w:hyperlink>
      <w:r w:rsidR="00C64102" w:rsidRPr="00C64102">
        <w:rPr>
          <w:rFonts w:ascii="Calibri" w:hAnsi="Calibri"/>
          <w:sz w:val="22"/>
          <w:szCs w:val="22"/>
          <w:lang w:val="fr-FR"/>
        </w:rPr>
        <w:t xml:space="preserve"> </w:t>
      </w:r>
    </w:p>
    <w:p w:rsidR="00E91D11" w:rsidRPr="00E5063C" w:rsidRDefault="00E91D11" w:rsidP="00294C27">
      <w:pPr>
        <w:rPr>
          <w:rFonts w:ascii="Calibri" w:hAnsi="Calibri"/>
          <w:sz w:val="22"/>
          <w:szCs w:val="22"/>
          <w:lang w:val="fr-FR"/>
        </w:rPr>
      </w:pPr>
    </w:p>
    <w:p w:rsidR="0088411D" w:rsidRPr="00E5063C" w:rsidRDefault="00C64102" w:rsidP="00294C27">
      <w:pPr>
        <w:rPr>
          <w:rFonts w:ascii="Calibri" w:hAnsi="Calibri"/>
          <w:sz w:val="22"/>
          <w:szCs w:val="22"/>
          <w:u w:val="single"/>
          <w:lang w:val="fr-FR"/>
        </w:rPr>
      </w:pP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p>
    <w:p w:rsidR="0088411D" w:rsidRPr="00E5063C" w:rsidRDefault="0088411D" w:rsidP="00294C27">
      <w:pPr>
        <w:rPr>
          <w:rFonts w:ascii="Calibri" w:hAnsi="Calibri"/>
          <w:sz w:val="22"/>
          <w:szCs w:val="22"/>
          <w:lang w:val="fr-FR"/>
        </w:rPr>
      </w:pPr>
    </w:p>
    <w:p w:rsidR="0088411D" w:rsidRPr="00C42AF6" w:rsidRDefault="00C12789" w:rsidP="0088411D">
      <w:pPr>
        <w:rPr>
          <w:rFonts w:ascii="Calibri" w:hAnsi="Calibri"/>
          <w:b/>
          <w:sz w:val="22"/>
          <w:szCs w:val="22"/>
          <w:u w:val="single"/>
        </w:rPr>
      </w:pPr>
      <w:r w:rsidRPr="00C42AF6">
        <w:rPr>
          <w:rFonts w:ascii="Calibri" w:hAnsi="Calibri"/>
          <w:b/>
          <w:sz w:val="22"/>
          <w:szCs w:val="22"/>
          <w:u w:val="single"/>
        </w:rPr>
        <w:t xml:space="preserve">3.) </w:t>
      </w:r>
      <w:r w:rsidR="0088411D" w:rsidRPr="00C42AF6">
        <w:rPr>
          <w:rFonts w:ascii="Calibri" w:hAnsi="Calibri"/>
          <w:b/>
          <w:sz w:val="22"/>
          <w:szCs w:val="22"/>
          <w:u w:val="single"/>
        </w:rPr>
        <w:t>Grant Recipient:</w:t>
      </w:r>
      <w:r w:rsidR="0088411D" w:rsidRPr="00C42AF6">
        <w:rPr>
          <w:rFonts w:ascii="Calibri" w:hAnsi="Calibri"/>
          <w:sz w:val="22"/>
          <w:szCs w:val="22"/>
          <w:u w:val="single"/>
        </w:rPr>
        <w:t xml:space="preserve">    </w:t>
      </w:r>
    </w:p>
    <w:p w:rsidR="00123AE0" w:rsidRPr="00C42AF6" w:rsidRDefault="00123AE0" w:rsidP="00294C27">
      <w:pPr>
        <w:rPr>
          <w:rFonts w:ascii="Calibri" w:hAnsi="Calibri"/>
          <w:sz w:val="22"/>
          <w:szCs w:val="22"/>
        </w:rPr>
      </w:pPr>
    </w:p>
    <w:p w:rsidR="0088411D" w:rsidRPr="00E5063C" w:rsidRDefault="00C64102" w:rsidP="0088411D">
      <w:pPr>
        <w:rPr>
          <w:rFonts w:ascii="Calibri" w:hAnsi="Calibri"/>
          <w:sz w:val="22"/>
          <w:szCs w:val="22"/>
        </w:rPr>
      </w:pPr>
      <w:proofErr w:type="spellStart"/>
      <w:r w:rsidRPr="00C64102">
        <w:rPr>
          <w:rFonts w:ascii="Calibri" w:hAnsi="Calibri"/>
          <w:sz w:val="22"/>
          <w:szCs w:val="22"/>
        </w:rPr>
        <w:t>Organisation</w:t>
      </w:r>
      <w:proofErr w:type="spellEnd"/>
      <w:r w:rsidRPr="00C64102">
        <w:rPr>
          <w:rFonts w:ascii="Calibri" w:hAnsi="Calibri"/>
          <w:sz w:val="22"/>
          <w:szCs w:val="22"/>
        </w:rPr>
        <w:t xml:space="preserve">: United Cities </w:t>
      </w:r>
      <w:proofErr w:type="gramStart"/>
      <w:r w:rsidRPr="00C64102">
        <w:rPr>
          <w:rFonts w:ascii="Calibri" w:hAnsi="Calibri"/>
          <w:sz w:val="22"/>
          <w:szCs w:val="22"/>
        </w:rPr>
        <w:t>And</w:t>
      </w:r>
      <w:proofErr w:type="gramEnd"/>
      <w:r w:rsidRPr="00C64102">
        <w:rPr>
          <w:rFonts w:ascii="Calibri" w:hAnsi="Calibri"/>
          <w:sz w:val="22"/>
          <w:szCs w:val="22"/>
        </w:rPr>
        <w:t xml:space="preserve"> Local Governments of Africa </w:t>
      </w:r>
    </w:p>
    <w:p w:rsidR="0088411D" w:rsidRPr="00E5063C" w:rsidRDefault="00D0340A" w:rsidP="0088411D">
      <w:pPr>
        <w:rPr>
          <w:rFonts w:ascii="Calibri" w:hAnsi="Calibri"/>
          <w:sz w:val="22"/>
          <w:szCs w:val="22"/>
          <w:lang w:val="fr-FR"/>
        </w:rPr>
      </w:pPr>
      <w:r w:rsidRPr="00D0340A">
        <w:rPr>
          <w:rFonts w:ascii="Calibri" w:hAnsi="Calibri"/>
          <w:sz w:val="22"/>
          <w:szCs w:val="22"/>
          <w:lang w:val="fr-FR"/>
        </w:rPr>
        <w:t>Contact Person</w:t>
      </w:r>
      <w:r w:rsidR="00C64102" w:rsidRPr="00C64102">
        <w:rPr>
          <w:rFonts w:ascii="Calibri" w:hAnsi="Calibri"/>
          <w:sz w:val="22"/>
          <w:szCs w:val="22"/>
          <w:lang w:val="fr-FR"/>
        </w:rPr>
        <w:t xml:space="preserve">: Jean Pierre </w:t>
      </w:r>
      <w:proofErr w:type="spellStart"/>
      <w:r w:rsidR="00C64102" w:rsidRPr="00C64102">
        <w:rPr>
          <w:rFonts w:ascii="Calibri" w:hAnsi="Calibri"/>
          <w:sz w:val="22"/>
          <w:szCs w:val="22"/>
          <w:lang w:val="fr-FR"/>
        </w:rPr>
        <w:t>Elong</w:t>
      </w:r>
      <w:proofErr w:type="spellEnd"/>
      <w:r w:rsidR="00C64102" w:rsidRPr="00C64102">
        <w:rPr>
          <w:rFonts w:ascii="Calibri" w:hAnsi="Calibri"/>
          <w:sz w:val="22"/>
          <w:szCs w:val="22"/>
          <w:lang w:val="fr-FR"/>
        </w:rPr>
        <w:t xml:space="preserve"> </w:t>
      </w:r>
      <w:proofErr w:type="spellStart"/>
      <w:r w:rsidR="00C64102" w:rsidRPr="00C64102">
        <w:rPr>
          <w:rFonts w:ascii="Calibri" w:hAnsi="Calibri"/>
          <w:sz w:val="22"/>
          <w:szCs w:val="22"/>
          <w:lang w:val="fr-FR"/>
        </w:rPr>
        <w:t>Mbassi</w:t>
      </w:r>
      <w:proofErr w:type="spellEnd"/>
      <w:r w:rsidR="00C64102" w:rsidRPr="00C64102">
        <w:rPr>
          <w:rFonts w:ascii="Calibri" w:hAnsi="Calibri"/>
          <w:sz w:val="22"/>
          <w:szCs w:val="22"/>
          <w:lang w:val="fr-FR"/>
        </w:rPr>
        <w:t xml:space="preserve">, </w:t>
      </w:r>
      <w:proofErr w:type="spellStart"/>
      <w:r w:rsidR="00C64102" w:rsidRPr="00C64102">
        <w:rPr>
          <w:rFonts w:ascii="Calibri" w:hAnsi="Calibri"/>
          <w:sz w:val="22"/>
          <w:szCs w:val="22"/>
          <w:lang w:val="fr-FR"/>
        </w:rPr>
        <w:t>Secretary</w:t>
      </w:r>
      <w:proofErr w:type="spellEnd"/>
      <w:r w:rsidR="00C64102" w:rsidRPr="00C64102">
        <w:rPr>
          <w:rFonts w:ascii="Calibri" w:hAnsi="Calibri"/>
          <w:sz w:val="22"/>
          <w:szCs w:val="22"/>
          <w:lang w:val="fr-FR"/>
        </w:rPr>
        <w:t xml:space="preserve"> General</w:t>
      </w:r>
    </w:p>
    <w:p w:rsidR="0088411D" w:rsidRPr="00E5063C" w:rsidRDefault="0088411D" w:rsidP="0088411D">
      <w:pPr>
        <w:rPr>
          <w:rFonts w:ascii="Calibri" w:hAnsi="Calibri"/>
          <w:sz w:val="22"/>
          <w:szCs w:val="22"/>
          <w:lang w:val="fr-FR"/>
        </w:rPr>
      </w:pPr>
      <w:r w:rsidRPr="00C42AF6">
        <w:rPr>
          <w:rFonts w:ascii="Calibri" w:hAnsi="Calibri"/>
          <w:sz w:val="22"/>
          <w:szCs w:val="22"/>
          <w:lang w:val="fr-FR"/>
        </w:rPr>
        <w:t xml:space="preserve">Organisation: Contact Person: </w:t>
      </w:r>
      <w:r w:rsidR="00C64102" w:rsidRPr="00C64102">
        <w:rPr>
          <w:rFonts w:ascii="Calibri" w:hAnsi="Calibri"/>
          <w:sz w:val="22"/>
          <w:szCs w:val="22"/>
          <w:lang w:val="fr-FR"/>
        </w:rPr>
        <w:t xml:space="preserve">Contact phone/ email: </w:t>
      </w:r>
      <w:hyperlink r:id="rId11" w:history="1">
        <w:r w:rsidR="00C64102" w:rsidRPr="00C64102">
          <w:rPr>
            <w:rStyle w:val="Hyperlink"/>
            <w:rFonts w:ascii="Calibri" w:hAnsi="Calibri"/>
            <w:sz w:val="22"/>
            <w:szCs w:val="22"/>
            <w:lang w:val="fr-FR"/>
          </w:rPr>
          <w:t>elongmbassi@yahoo.fr</w:t>
        </w:r>
      </w:hyperlink>
    </w:p>
    <w:p w:rsidR="001624FA" w:rsidRPr="00E5063C" w:rsidRDefault="001624FA" w:rsidP="0088411D">
      <w:pPr>
        <w:rPr>
          <w:rFonts w:ascii="Calibri" w:hAnsi="Calibri"/>
          <w:sz w:val="22"/>
          <w:szCs w:val="22"/>
          <w:lang w:val="fr-FR"/>
        </w:rPr>
      </w:pPr>
    </w:p>
    <w:p w:rsidR="001624FA" w:rsidRPr="00E5063C" w:rsidRDefault="00C64102" w:rsidP="001624FA">
      <w:pPr>
        <w:rPr>
          <w:rFonts w:ascii="Calibri" w:hAnsi="Calibri"/>
          <w:sz w:val="22"/>
          <w:szCs w:val="22"/>
        </w:rPr>
      </w:pPr>
      <w:proofErr w:type="spellStart"/>
      <w:r w:rsidRPr="00C64102">
        <w:rPr>
          <w:rFonts w:ascii="Calibri" w:hAnsi="Calibri"/>
          <w:sz w:val="22"/>
          <w:szCs w:val="22"/>
        </w:rPr>
        <w:t>Organisation</w:t>
      </w:r>
      <w:proofErr w:type="spellEnd"/>
      <w:r w:rsidRPr="00C64102">
        <w:rPr>
          <w:rFonts w:ascii="Calibri" w:hAnsi="Calibri"/>
          <w:sz w:val="22"/>
          <w:szCs w:val="22"/>
        </w:rPr>
        <w:t xml:space="preserve">: Cities Alliance </w:t>
      </w:r>
    </w:p>
    <w:p w:rsidR="001624FA" w:rsidRPr="00C42AF6" w:rsidRDefault="00C64102" w:rsidP="001624FA">
      <w:pPr>
        <w:rPr>
          <w:rFonts w:ascii="Calibri" w:hAnsi="Calibri"/>
          <w:sz w:val="22"/>
          <w:szCs w:val="22"/>
        </w:rPr>
      </w:pPr>
      <w:r w:rsidRPr="00C64102">
        <w:rPr>
          <w:rFonts w:ascii="Calibri" w:hAnsi="Calibri"/>
          <w:sz w:val="22"/>
          <w:szCs w:val="22"/>
        </w:rPr>
        <w:t>Contact Person</w:t>
      </w:r>
      <w:r w:rsidR="001624FA" w:rsidRPr="00C42AF6">
        <w:rPr>
          <w:rFonts w:ascii="Calibri" w:hAnsi="Calibri"/>
          <w:sz w:val="22"/>
          <w:szCs w:val="22"/>
        </w:rPr>
        <w:t xml:space="preserve">: </w:t>
      </w:r>
      <w:r w:rsidR="001624FA">
        <w:rPr>
          <w:rFonts w:ascii="Calibri" w:hAnsi="Calibri"/>
          <w:sz w:val="22"/>
          <w:szCs w:val="22"/>
        </w:rPr>
        <w:t xml:space="preserve">Kevin Milroy, Deputy Program Manager </w:t>
      </w:r>
    </w:p>
    <w:p w:rsidR="001624FA" w:rsidRPr="00E5063C" w:rsidRDefault="001624FA" w:rsidP="001624FA">
      <w:pPr>
        <w:rPr>
          <w:rFonts w:ascii="Calibri" w:hAnsi="Calibri"/>
          <w:sz w:val="22"/>
          <w:szCs w:val="22"/>
          <w:lang w:val="fr-FR"/>
        </w:rPr>
      </w:pPr>
      <w:r w:rsidRPr="00C42AF6">
        <w:rPr>
          <w:rFonts w:ascii="Calibri" w:hAnsi="Calibri"/>
          <w:sz w:val="22"/>
          <w:szCs w:val="22"/>
          <w:lang w:val="fr-FR"/>
        </w:rPr>
        <w:t xml:space="preserve">Organisation: Contact Person: </w:t>
      </w:r>
      <w:r w:rsidR="00C64102" w:rsidRPr="00C64102">
        <w:rPr>
          <w:rFonts w:ascii="Calibri" w:hAnsi="Calibri"/>
          <w:sz w:val="22"/>
          <w:szCs w:val="22"/>
          <w:lang w:val="fr-FR"/>
        </w:rPr>
        <w:t xml:space="preserve">Contact phone/ email: </w:t>
      </w:r>
      <w:hyperlink r:id="rId12" w:history="1">
        <w:r w:rsidR="00C64102" w:rsidRPr="00C64102">
          <w:rPr>
            <w:rStyle w:val="Hyperlink"/>
            <w:rFonts w:ascii="Calibri" w:hAnsi="Calibri"/>
            <w:sz w:val="22"/>
            <w:szCs w:val="22"/>
            <w:lang w:val="fr-FR"/>
          </w:rPr>
          <w:t>kmilroy@citiesalliance.org</w:t>
        </w:r>
      </w:hyperlink>
      <w:r w:rsidR="00C64102" w:rsidRPr="00C64102">
        <w:rPr>
          <w:rFonts w:ascii="Calibri" w:hAnsi="Calibri"/>
          <w:sz w:val="22"/>
          <w:szCs w:val="22"/>
          <w:lang w:val="fr-FR"/>
        </w:rPr>
        <w:t xml:space="preserve"> </w:t>
      </w:r>
    </w:p>
    <w:p w:rsidR="001624FA" w:rsidRPr="00E5063C" w:rsidRDefault="001624FA" w:rsidP="0088411D">
      <w:pPr>
        <w:rPr>
          <w:rFonts w:ascii="Calibri" w:hAnsi="Calibri"/>
          <w:sz w:val="22"/>
          <w:szCs w:val="22"/>
          <w:lang w:val="fr-FR"/>
        </w:rPr>
      </w:pPr>
    </w:p>
    <w:p w:rsidR="00294C27" w:rsidRPr="00E5063C" w:rsidRDefault="00C64102" w:rsidP="00294C27">
      <w:pPr>
        <w:rPr>
          <w:rFonts w:ascii="Calibri" w:hAnsi="Calibri"/>
          <w:sz w:val="22"/>
          <w:szCs w:val="22"/>
          <w:u w:val="single"/>
          <w:lang w:val="fr-FR"/>
        </w:rPr>
      </w:pP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r w:rsidRPr="00C64102">
        <w:rPr>
          <w:rFonts w:ascii="Calibri" w:hAnsi="Calibri"/>
          <w:sz w:val="22"/>
          <w:szCs w:val="22"/>
          <w:u w:val="single"/>
          <w:lang w:val="fr-FR"/>
        </w:rPr>
        <w:tab/>
      </w:r>
    </w:p>
    <w:p w:rsidR="00294C27" w:rsidRPr="00E5063C" w:rsidRDefault="00294C27">
      <w:pPr>
        <w:rPr>
          <w:rFonts w:ascii="Calibri" w:hAnsi="Calibri"/>
          <w:sz w:val="22"/>
          <w:szCs w:val="22"/>
          <w:lang w:val="fr-FR"/>
        </w:rPr>
      </w:pPr>
    </w:p>
    <w:p w:rsidR="00294C27" w:rsidRDefault="00C12789">
      <w:pPr>
        <w:rPr>
          <w:rFonts w:ascii="Calibri" w:hAnsi="Calibri"/>
          <w:sz w:val="22"/>
          <w:szCs w:val="22"/>
          <w:u w:val="single"/>
        </w:rPr>
      </w:pPr>
      <w:r w:rsidRPr="00C42AF6">
        <w:rPr>
          <w:rFonts w:ascii="Calibri" w:hAnsi="Calibri"/>
          <w:b/>
          <w:sz w:val="22"/>
          <w:szCs w:val="22"/>
          <w:u w:val="single"/>
        </w:rPr>
        <w:t xml:space="preserve">4.) </w:t>
      </w:r>
      <w:r w:rsidR="00294C27" w:rsidRPr="00C42AF6">
        <w:rPr>
          <w:rFonts w:ascii="Calibri" w:hAnsi="Calibri"/>
          <w:b/>
          <w:sz w:val="22"/>
          <w:szCs w:val="22"/>
          <w:u w:val="single"/>
        </w:rPr>
        <w:t>Expected Duration:</w:t>
      </w:r>
      <w:r w:rsidR="00294C27" w:rsidRPr="00E3429B">
        <w:rPr>
          <w:rFonts w:ascii="Calibri" w:hAnsi="Calibri"/>
          <w:sz w:val="22"/>
          <w:szCs w:val="22"/>
        </w:rPr>
        <w:t xml:space="preserve"> </w:t>
      </w:r>
      <w:r w:rsidR="00E3429B" w:rsidRPr="00E3429B">
        <w:rPr>
          <w:rFonts w:ascii="Calibri" w:hAnsi="Calibri"/>
          <w:sz w:val="22"/>
          <w:szCs w:val="22"/>
        </w:rPr>
        <w:t xml:space="preserve">12 months </w:t>
      </w:r>
    </w:p>
    <w:p w:rsidR="00D51933" w:rsidRDefault="00D51933">
      <w:pPr>
        <w:rPr>
          <w:rFonts w:ascii="Calibri" w:hAnsi="Calibri"/>
          <w:sz w:val="22"/>
          <w:szCs w:val="22"/>
          <w:u w:val="single"/>
        </w:rPr>
      </w:pPr>
    </w:p>
    <w:p w:rsidR="00D51933" w:rsidRPr="00CA7074" w:rsidRDefault="00D51933">
      <w:pPr>
        <w:rPr>
          <w:rFonts w:ascii="Calibri" w:hAnsi="Calibri"/>
          <w:b/>
          <w:sz w:val="22"/>
          <w:szCs w:val="22"/>
          <w:u w:val="single"/>
        </w:rPr>
      </w:pPr>
      <w:r w:rsidRPr="00CA7074">
        <w:rPr>
          <w:rFonts w:ascii="Calibri" w:hAnsi="Calibri"/>
          <w:b/>
          <w:sz w:val="22"/>
          <w:szCs w:val="22"/>
          <w:u w:val="single"/>
        </w:rPr>
        <w:t>5.) Geographic Scope:</w:t>
      </w:r>
      <w:r w:rsidRPr="00E3429B">
        <w:rPr>
          <w:rFonts w:ascii="Calibri" w:hAnsi="Calibri"/>
          <w:sz w:val="22"/>
          <w:szCs w:val="22"/>
        </w:rPr>
        <w:t xml:space="preserve"> </w:t>
      </w:r>
      <w:r w:rsidR="00E3429B" w:rsidRPr="00E3429B">
        <w:rPr>
          <w:rFonts w:ascii="Calibri" w:hAnsi="Calibri"/>
          <w:sz w:val="22"/>
          <w:szCs w:val="22"/>
        </w:rPr>
        <w:t xml:space="preserve">Multi-country </w:t>
      </w:r>
    </w:p>
    <w:p w:rsidR="00D51933" w:rsidRPr="00D51933" w:rsidRDefault="00D51933">
      <w:pPr>
        <w:rPr>
          <w:rFonts w:ascii="Calibri" w:hAnsi="Calibri"/>
          <w:b/>
          <w:color w:val="FF0000"/>
          <w:sz w:val="22"/>
          <w:szCs w:val="22"/>
          <w:u w:val="single"/>
        </w:rPr>
      </w:pPr>
    </w:p>
    <w:p w:rsidR="00C42AF6" w:rsidRPr="00C42AF6" w:rsidRDefault="00CA7074" w:rsidP="00C42AF6">
      <w:pPr>
        <w:pStyle w:val="NoSpacing"/>
        <w:rPr>
          <w:rFonts w:cs="Arial"/>
          <w:b/>
          <w:u w:val="single"/>
        </w:rPr>
      </w:pPr>
      <w:r>
        <w:rPr>
          <w:rFonts w:cs="Arial"/>
          <w:b/>
          <w:u w:val="single"/>
        </w:rPr>
        <w:t>6</w:t>
      </w:r>
      <w:r w:rsidR="00C42AF6" w:rsidRPr="00C42AF6">
        <w:rPr>
          <w:rFonts w:cs="Arial"/>
          <w:b/>
          <w:u w:val="single"/>
        </w:rPr>
        <w:t>.) Budget Summary:</w:t>
      </w:r>
      <w:r w:rsidR="00E3429B">
        <w:rPr>
          <w:rFonts w:cs="Arial"/>
          <w:b/>
          <w:u w:val="single"/>
        </w:rPr>
        <w:t xml:space="preserve"> </w:t>
      </w:r>
    </w:p>
    <w:p w:rsidR="00C42AF6" w:rsidRPr="00C42AF6" w:rsidRDefault="00C42AF6" w:rsidP="00C42AF6">
      <w:pPr>
        <w:pStyle w:val="NoSpacing"/>
        <w:rPr>
          <w:rFonts w:cs="Arial"/>
        </w:rPr>
      </w:pPr>
    </w:p>
    <w:p w:rsidR="00C42AF6" w:rsidRDefault="00C42AF6" w:rsidP="00CD3572">
      <w:pPr>
        <w:pStyle w:val="NoSpacing"/>
        <w:numPr>
          <w:ilvl w:val="0"/>
          <w:numId w:val="30"/>
        </w:numPr>
        <w:rPr>
          <w:rFonts w:cs="Arial"/>
        </w:rPr>
      </w:pPr>
      <w:r w:rsidRPr="00C42AF6">
        <w:rPr>
          <w:rFonts w:cs="Arial"/>
        </w:rPr>
        <w:t xml:space="preserve">Amount of total budget requested from Cities Alliance funding: </w:t>
      </w:r>
      <w:r w:rsidR="009D6A85">
        <w:rPr>
          <w:rFonts w:cs="Arial"/>
        </w:rPr>
        <w:t>$</w:t>
      </w:r>
      <w:r w:rsidR="006E290C">
        <w:rPr>
          <w:rFonts w:cs="Arial"/>
        </w:rPr>
        <w:t>244</w:t>
      </w:r>
      <w:r w:rsidR="009D6A85">
        <w:rPr>
          <w:rFonts w:cs="Arial"/>
        </w:rPr>
        <w:t>,000</w:t>
      </w:r>
    </w:p>
    <w:p w:rsidR="006E290C" w:rsidRPr="00C42AF6" w:rsidRDefault="006E290C" w:rsidP="00CD3572">
      <w:pPr>
        <w:pStyle w:val="NoSpacing"/>
        <w:numPr>
          <w:ilvl w:val="0"/>
          <w:numId w:val="30"/>
        </w:numPr>
        <w:rPr>
          <w:rFonts w:cs="Arial"/>
        </w:rPr>
      </w:pPr>
      <w:r>
        <w:rPr>
          <w:rFonts w:cs="Arial"/>
        </w:rPr>
        <w:t>Amount of previously approved Cities Alliance funding:  $206,000</w:t>
      </w:r>
    </w:p>
    <w:p w:rsidR="00C42AF6" w:rsidRPr="00C42AF6" w:rsidRDefault="00C42AF6" w:rsidP="00CD3572">
      <w:pPr>
        <w:pStyle w:val="NoSpacing"/>
        <w:numPr>
          <w:ilvl w:val="0"/>
          <w:numId w:val="30"/>
        </w:numPr>
        <w:rPr>
          <w:rFonts w:cs="Arial"/>
        </w:rPr>
      </w:pPr>
      <w:r w:rsidRPr="00C42AF6">
        <w:rPr>
          <w:rFonts w:cs="Arial"/>
        </w:rPr>
        <w:t xml:space="preserve">Co-financing amount of total budget, including local partners: </w:t>
      </w:r>
      <w:r w:rsidR="006E290C">
        <w:rPr>
          <w:rFonts w:cs="Arial"/>
        </w:rPr>
        <w:t>$56,000</w:t>
      </w:r>
    </w:p>
    <w:p w:rsidR="00C42AF6" w:rsidRPr="00C42AF6" w:rsidRDefault="00C42AF6" w:rsidP="00CD3572">
      <w:pPr>
        <w:pStyle w:val="NoSpacing"/>
        <w:numPr>
          <w:ilvl w:val="0"/>
          <w:numId w:val="30"/>
        </w:numPr>
        <w:rPr>
          <w:rFonts w:cs="Arial"/>
          <w:b/>
          <w:bCs/>
        </w:rPr>
      </w:pPr>
      <w:r w:rsidRPr="00C42AF6">
        <w:rPr>
          <w:rFonts w:cs="Arial"/>
        </w:rPr>
        <w:t xml:space="preserve">Total project budget cost:  </w:t>
      </w:r>
      <w:r w:rsidR="006E290C">
        <w:rPr>
          <w:rFonts w:cs="Arial"/>
        </w:rPr>
        <w:t>$506,000</w:t>
      </w:r>
    </w:p>
    <w:p w:rsidR="00C42AF6" w:rsidRPr="00C42AF6" w:rsidRDefault="00C42AF6">
      <w:pPr>
        <w:rPr>
          <w:rFonts w:ascii="Calibri" w:hAnsi="Calibri"/>
          <w:sz w:val="22"/>
          <w:szCs w:val="22"/>
        </w:rPr>
      </w:pPr>
    </w:p>
    <w:p w:rsidR="004A6AE4" w:rsidRPr="00C42AF6" w:rsidRDefault="004A6AE4">
      <w:pPr>
        <w:rPr>
          <w:rFonts w:ascii="Calibri" w:hAnsi="Calibri"/>
          <w:sz w:val="22"/>
          <w:szCs w:val="22"/>
        </w:rPr>
      </w:pPr>
    </w:p>
    <w:p w:rsidR="004A6AE4" w:rsidRPr="00C42AF6" w:rsidRDefault="00CA7074">
      <w:pPr>
        <w:rPr>
          <w:rFonts w:ascii="Calibri" w:hAnsi="Calibri"/>
          <w:sz w:val="22"/>
          <w:szCs w:val="22"/>
          <w:u w:val="single"/>
        </w:rPr>
      </w:pPr>
      <w:r>
        <w:rPr>
          <w:rFonts w:ascii="Calibri" w:hAnsi="Calibri"/>
          <w:b/>
          <w:sz w:val="22"/>
          <w:szCs w:val="22"/>
          <w:u w:val="single"/>
        </w:rPr>
        <w:t>7</w:t>
      </w:r>
      <w:r w:rsidR="00C12789" w:rsidRPr="00C42AF6">
        <w:rPr>
          <w:rFonts w:ascii="Calibri" w:hAnsi="Calibri"/>
          <w:b/>
          <w:sz w:val="22"/>
          <w:szCs w:val="22"/>
          <w:u w:val="single"/>
        </w:rPr>
        <w:t xml:space="preserve">.) </w:t>
      </w:r>
      <w:r w:rsidR="00294C27" w:rsidRPr="00C42AF6">
        <w:rPr>
          <w:rFonts w:ascii="Calibri" w:hAnsi="Calibri"/>
          <w:b/>
          <w:sz w:val="22"/>
          <w:szCs w:val="22"/>
          <w:u w:val="single"/>
        </w:rPr>
        <w:t>Target Audience(s):</w:t>
      </w:r>
      <w:r w:rsidR="009963A6" w:rsidRPr="00C42AF6">
        <w:rPr>
          <w:rFonts w:ascii="Calibri" w:hAnsi="Calibri"/>
          <w:sz w:val="22"/>
          <w:szCs w:val="22"/>
          <w:u w:val="single"/>
        </w:rPr>
        <w:t xml:space="preserve"> </w:t>
      </w:r>
    </w:p>
    <w:p w:rsidR="004A6AE4" w:rsidRPr="00D402D5" w:rsidRDefault="001624FA" w:rsidP="00DF388B">
      <w:pPr>
        <w:numPr>
          <w:ilvl w:val="0"/>
          <w:numId w:val="32"/>
        </w:numPr>
        <w:rPr>
          <w:rFonts w:ascii="Calibri" w:hAnsi="Calibri"/>
          <w:sz w:val="22"/>
          <w:szCs w:val="22"/>
        </w:rPr>
      </w:pPr>
      <w:r>
        <w:rPr>
          <w:rFonts w:ascii="Calibri" w:hAnsi="Calibri"/>
          <w:sz w:val="22"/>
          <w:szCs w:val="22"/>
        </w:rPr>
        <w:t>City and l</w:t>
      </w:r>
      <w:r w:rsidRPr="00D402D5">
        <w:rPr>
          <w:rFonts w:ascii="Calibri" w:hAnsi="Calibri"/>
          <w:sz w:val="22"/>
          <w:szCs w:val="22"/>
        </w:rPr>
        <w:t xml:space="preserve">ocal </w:t>
      </w:r>
      <w:r w:rsidR="00D402D5" w:rsidRPr="00D402D5">
        <w:rPr>
          <w:rFonts w:ascii="Calibri" w:hAnsi="Calibri"/>
          <w:sz w:val="22"/>
          <w:szCs w:val="22"/>
        </w:rPr>
        <w:t xml:space="preserve">government associations in Africa </w:t>
      </w:r>
    </w:p>
    <w:p w:rsidR="00D402D5" w:rsidRPr="00D402D5" w:rsidRDefault="00D402D5" w:rsidP="00DF388B">
      <w:pPr>
        <w:numPr>
          <w:ilvl w:val="0"/>
          <w:numId w:val="32"/>
        </w:numPr>
        <w:rPr>
          <w:rFonts w:ascii="Calibri" w:hAnsi="Calibri"/>
          <w:sz w:val="22"/>
          <w:szCs w:val="22"/>
        </w:rPr>
      </w:pPr>
      <w:r w:rsidRPr="00D402D5">
        <w:rPr>
          <w:rFonts w:ascii="Calibri" w:hAnsi="Calibri"/>
          <w:sz w:val="22"/>
          <w:szCs w:val="22"/>
        </w:rPr>
        <w:t>National Ministries for Planning, Finance, Local Government</w:t>
      </w:r>
      <w:r w:rsidR="001624FA">
        <w:rPr>
          <w:rFonts w:ascii="Calibri" w:hAnsi="Calibri"/>
          <w:sz w:val="22"/>
          <w:szCs w:val="22"/>
        </w:rPr>
        <w:t>,</w:t>
      </w:r>
      <w:r w:rsidRPr="00D402D5">
        <w:rPr>
          <w:rFonts w:ascii="Calibri" w:hAnsi="Calibri"/>
          <w:sz w:val="22"/>
          <w:szCs w:val="22"/>
        </w:rPr>
        <w:t xml:space="preserve"> Housing </w:t>
      </w:r>
      <w:r w:rsidR="001624FA">
        <w:rPr>
          <w:rFonts w:ascii="Calibri" w:hAnsi="Calibri"/>
          <w:sz w:val="22"/>
          <w:szCs w:val="22"/>
        </w:rPr>
        <w:t>and Urban Development</w:t>
      </w:r>
    </w:p>
    <w:p w:rsidR="00D402D5" w:rsidRPr="00D402D5" w:rsidRDefault="00D402D5" w:rsidP="00DF388B">
      <w:pPr>
        <w:numPr>
          <w:ilvl w:val="0"/>
          <w:numId w:val="32"/>
        </w:numPr>
        <w:rPr>
          <w:rFonts w:ascii="Calibri" w:hAnsi="Calibri"/>
          <w:sz w:val="22"/>
          <w:szCs w:val="22"/>
        </w:rPr>
      </w:pPr>
      <w:r w:rsidRPr="00D402D5">
        <w:rPr>
          <w:rFonts w:ascii="Calibri" w:hAnsi="Calibri"/>
          <w:sz w:val="22"/>
          <w:szCs w:val="22"/>
        </w:rPr>
        <w:t xml:space="preserve">Local government </w:t>
      </w:r>
      <w:r w:rsidR="000C54AF">
        <w:rPr>
          <w:rFonts w:ascii="Calibri" w:hAnsi="Calibri"/>
          <w:sz w:val="22"/>
          <w:szCs w:val="22"/>
        </w:rPr>
        <w:t>officials including Mayors, City Managers and Directors of technical units such as planning</w:t>
      </w:r>
      <w:r w:rsidR="00DF388B">
        <w:rPr>
          <w:rFonts w:ascii="Calibri" w:hAnsi="Calibri"/>
          <w:sz w:val="22"/>
          <w:szCs w:val="22"/>
        </w:rPr>
        <w:t xml:space="preserve">, housing </w:t>
      </w:r>
      <w:r w:rsidR="000C54AF">
        <w:rPr>
          <w:rFonts w:ascii="Calibri" w:hAnsi="Calibri"/>
          <w:sz w:val="22"/>
          <w:szCs w:val="22"/>
        </w:rPr>
        <w:t xml:space="preserve">and finance.  </w:t>
      </w:r>
    </w:p>
    <w:p w:rsidR="00D402D5" w:rsidRPr="00D402D5" w:rsidRDefault="00D402D5" w:rsidP="00DF388B">
      <w:pPr>
        <w:numPr>
          <w:ilvl w:val="0"/>
          <w:numId w:val="32"/>
        </w:numPr>
        <w:rPr>
          <w:rFonts w:ascii="Calibri" w:hAnsi="Calibri"/>
          <w:sz w:val="22"/>
          <w:szCs w:val="22"/>
        </w:rPr>
      </w:pPr>
      <w:r w:rsidRPr="00D402D5">
        <w:rPr>
          <w:rFonts w:ascii="Calibri" w:hAnsi="Calibri"/>
          <w:sz w:val="22"/>
          <w:szCs w:val="22"/>
        </w:rPr>
        <w:t>Global, regional and local partners either supporting or working closely with government associations such as international development partners</w:t>
      </w:r>
      <w:r w:rsidR="001624FA">
        <w:rPr>
          <w:rFonts w:ascii="Calibri" w:hAnsi="Calibri"/>
          <w:sz w:val="22"/>
          <w:szCs w:val="22"/>
        </w:rPr>
        <w:t xml:space="preserve"> and training institutes.</w:t>
      </w:r>
      <w:r w:rsidRPr="00D402D5">
        <w:rPr>
          <w:rFonts w:ascii="Calibri" w:hAnsi="Calibri"/>
          <w:sz w:val="22"/>
          <w:szCs w:val="22"/>
        </w:rPr>
        <w:t xml:space="preserve"> </w:t>
      </w:r>
    </w:p>
    <w:p w:rsidR="00A51F34" w:rsidRDefault="00A51F34">
      <w:pPr>
        <w:rPr>
          <w:rFonts w:ascii="Calibri" w:hAnsi="Calibri"/>
          <w:b/>
          <w:sz w:val="22"/>
          <w:szCs w:val="22"/>
          <w:u w:val="single"/>
        </w:rPr>
      </w:pPr>
    </w:p>
    <w:p w:rsidR="00A51F34" w:rsidRDefault="00A51F34">
      <w:pPr>
        <w:rPr>
          <w:rFonts w:ascii="Calibri" w:hAnsi="Calibri"/>
          <w:b/>
          <w:sz w:val="22"/>
          <w:szCs w:val="22"/>
          <w:u w:val="single"/>
        </w:rPr>
      </w:pPr>
    </w:p>
    <w:p w:rsidR="00D51933" w:rsidRPr="00CA7074" w:rsidRDefault="00CA7074">
      <w:pPr>
        <w:rPr>
          <w:rFonts w:ascii="Calibri" w:hAnsi="Calibri"/>
          <w:b/>
          <w:sz w:val="22"/>
          <w:szCs w:val="22"/>
          <w:u w:val="single"/>
        </w:rPr>
      </w:pPr>
      <w:r w:rsidRPr="00CA7074">
        <w:rPr>
          <w:rFonts w:ascii="Calibri" w:hAnsi="Calibri"/>
          <w:b/>
          <w:sz w:val="22"/>
          <w:szCs w:val="22"/>
          <w:u w:val="single"/>
        </w:rPr>
        <w:t>8</w:t>
      </w:r>
      <w:r w:rsidR="00C12789" w:rsidRPr="00CA7074">
        <w:rPr>
          <w:rFonts w:ascii="Calibri" w:hAnsi="Calibri"/>
          <w:b/>
          <w:sz w:val="22"/>
          <w:szCs w:val="22"/>
          <w:u w:val="single"/>
        </w:rPr>
        <w:t xml:space="preserve">.) </w:t>
      </w:r>
      <w:r w:rsidR="00D51933" w:rsidRPr="00CA7074">
        <w:rPr>
          <w:rFonts w:ascii="Calibri" w:hAnsi="Calibri"/>
          <w:b/>
          <w:sz w:val="22"/>
          <w:szCs w:val="22"/>
          <w:u w:val="single"/>
        </w:rPr>
        <w:t>Background</w:t>
      </w:r>
    </w:p>
    <w:p w:rsidR="00D51933" w:rsidRDefault="00D51933">
      <w:pPr>
        <w:rPr>
          <w:rFonts w:ascii="Calibri" w:hAnsi="Calibri"/>
          <w:b/>
          <w:sz w:val="22"/>
          <w:szCs w:val="22"/>
          <w:u w:val="single"/>
        </w:rPr>
      </w:pPr>
    </w:p>
    <w:p w:rsidR="00975BC4" w:rsidRPr="00A51F34" w:rsidRDefault="00E3429B" w:rsidP="00F315A2">
      <w:pPr>
        <w:jc w:val="both"/>
        <w:rPr>
          <w:rFonts w:ascii="Calibri" w:eastAsia="Calibri" w:hAnsi="Calibri" w:cs="Arial"/>
          <w:sz w:val="22"/>
          <w:szCs w:val="22"/>
        </w:rPr>
      </w:pPr>
      <w:r w:rsidRPr="00A51F34">
        <w:rPr>
          <w:rFonts w:ascii="Calibri" w:eastAsia="Calibri" w:hAnsi="Calibri" w:cs="Arial"/>
          <w:sz w:val="22"/>
          <w:szCs w:val="22"/>
        </w:rPr>
        <w:t xml:space="preserve">The Cities Alliance has committed to increasing its impacts in Sub-Saharan Africa, focusing in particular on secondary cities that are bearing the brunt of rapid urbanization, and which will become cities with slums unless Governments in the region take action to promote and strengthen the role of cities for poverty reduction and sustainable development.  </w:t>
      </w:r>
    </w:p>
    <w:p w:rsidR="00975BC4" w:rsidRPr="00A51F34" w:rsidRDefault="00975BC4" w:rsidP="00F315A2">
      <w:pPr>
        <w:jc w:val="both"/>
        <w:rPr>
          <w:rFonts w:ascii="Calibri" w:eastAsia="Calibri" w:hAnsi="Calibri" w:cs="Arial"/>
          <w:sz w:val="22"/>
          <w:szCs w:val="22"/>
        </w:rPr>
      </w:pPr>
    </w:p>
    <w:p w:rsidR="00E3429B" w:rsidRPr="00A51F34" w:rsidRDefault="00E3429B" w:rsidP="00F315A2">
      <w:pPr>
        <w:jc w:val="both"/>
        <w:rPr>
          <w:rFonts w:ascii="Calibri" w:eastAsia="Calibri" w:hAnsi="Calibri" w:cs="Arial"/>
          <w:sz w:val="22"/>
          <w:szCs w:val="22"/>
        </w:rPr>
      </w:pPr>
      <w:r w:rsidRPr="00A51F34">
        <w:rPr>
          <w:rFonts w:ascii="Calibri" w:eastAsia="Calibri" w:hAnsi="Calibri" w:cs="Arial"/>
          <w:sz w:val="22"/>
          <w:szCs w:val="22"/>
        </w:rPr>
        <w:t>In response, the CA Secretariat is engaging with CA members to build an Action Plan to achieve this objective.</w:t>
      </w:r>
      <w:r w:rsidR="00975BC4" w:rsidRPr="00A51F34">
        <w:rPr>
          <w:rFonts w:ascii="Calibri" w:eastAsia="Calibri" w:hAnsi="Calibri" w:cs="Arial"/>
          <w:sz w:val="22"/>
          <w:szCs w:val="22"/>
        </w:rPr>
        <w:t xml:space="preserve"> </w:t>
      </w:r>
      <w:r w:rsidRPr="00A51F34">
        <w:rPr>
          <w:rFonts w:ascii="Calibri" w:eastAsia="Calibri" w:hAnsi="Calibri" w:cs="Arial"/>
          <w:sz w:val="22"/>
          <w:szCs w:val="22"/>
        </w:rPr>
        <w:t xml:space="preserve">The plan aims to improve the efficiency and efficacy of on-going and future CA-funded activities in the region, identify and address key strategic gaps in assistance where the Alliance has comparative advantages to deliver, and mobilize and support CA members to fill these gaps.  </w:t>
      </w:r>
    </w:p>
    <w:p w:rsidR="00E3429B" w:rsidRPr="00CA7074" w:rsidRDefault="00E3429B">
      <w:pPr>
        <w:rPr>
          <w:rFonts w:ascii="Calibri" w:hAnsi="Calibri"/>
          <w:b/>
          <w:sz w:val="22"/>
          <w:szCs w:val="22"/>
          <w:u w:val="single"/>
        </w:rPr>
      </w:pPr>
    </w:p>
    <w:p w:rsidR="00294C27" w:rsidRPr="00CA7074" w:rsidRDefault="00CA7074">
      <w:pPr>
        <w:rPr>
          <w:rFonts w:ascii="Calibri" w:hAnsi="Calibri"/>
          <w:sz w:val="22"/>
          <w:szCs w:val="22"/>
          <w:u w:val="single"/>
        </w:rPr>
      </w:pPr>
      <w:r w:rsidRPr="00CA7074">
        <w:rPr>
          <w:rFonts w:ascii="Calibri" w:hAnsi="Calibri"/>
          <w:b/>
          <w:sz w:val="22"/>
          <w:szCs w:val="22"/>
          <w:u w:val="single"/>
        </w:rPr>
        <w:t>9</w:t>
      </w:r>
      <w:r w:rsidR="00D51933" w:rsidRPr="00CA7074">
        <w:rPr>
          <w:rFonts w:ascii="Calibri" w:hAnsi="Calibri"/>
          <w:b/>
          <w:sz w:val="22"/>
          <w:szCs w:val="22"/>
          <w:u w:val="single"/>
        </w:rPr>
        <w:t xml:space="preserve">.) </w:t>
      </w:r>
      <w:r w:rsidR="00294C27" w:rsidRPr="00CA7074">
        <w:rPr>
          <w:rFonts w:ascii="Calibri" w:hAnsi="Calibri"/>
          <w:b/>
          <w:sz w:val="22"/>
          <w:szCs w:val="22"/>
          <w:u w:val="single"/>
        </w:rPr>
        <w:t>Activity Objective(s):</w:t>
      </w:r>
      <w:r w:rsidR="00294C27" w:rsidRPr="00CA7074">
        <w:rPr>
          <w:rFonts w:ascii="Calibri" w:hAnsi="Calibri"/>
          <w:sz w:val="22"/>
          <w:szCs w:val="22"/>
          <w:u w:val="single"/>
        </w:rPr>
        <w:t xml:space="preserve"> </w:t>
      </w:r>
    </w:p>
    <w:p w:rsidR="00D51933" w:rsidRDefault="00D51933">
      <w:pPr>
        <w:rPr>
          <w:rFonts w:ascii="Calibri" w:hAnsi="Calibri"/>
          <w:sz w:val="22"/>
          <w:szCs w:val="22"/>
          <w:u w:val="single"/>
        </w:rPr>
      </w:pPr>
    </w:p>
    <w:p w:rsidR="00A939E6" w:rsidRPr="006563EA" w:rsidRDefault="00F315A2">
      <w:pPr>
        <w:rPr>
          <w:rFonts w:ascii="Calibri" w:eastAsia="Calibri" w:hAnsi="Calibri" w:cs="Arial"/>
          <w:sz w:val="22"/>
          <w:szCs w:val="22"/>
        </w:rPr>
      </w:pPr>
      <w:r w:rsidRPr="006563EA">
        <w:rPr>
          <w:rFonts w:ascii="Calibri" w:eastAsia="Calibri" w:hAnsi="Calibri" w:cs="Arial"/>
          <w:sz w:val="22"/>
          <w:szCs w:val="22"/>
        </w:rPr>
        <w:t xml:space="preserve">The overall objective of this </w:t>
      </w:r>
      <w:r w:rsidR="001624FA">
        <w:rPr>
          <w:rFonts w:ascii="Calibri" w:eastAsia="Calibri" w:hAnsi="Calibri" w:cs="Arial"/>
          <w:sz w:val="22"/>
          <w:szCs w:val="22"/>
        </w:rPr>
        <w:t xml:space="preserve">2012 </w:t>
      </w:r>
      <w:r w:rsidRPr="006563EA">
        <w:rPr>
          <w:rFonts w:ascii="Calibri" w:eastAsia="Calibri" w:hAnsi="Calibri" w:cs="Arial"/>
          <w:sz w:val="22"/>
          <w:szCs w:val="22"/>
        </w:rPr>
        <w:t xml:space="preserve">joint work program is </w:t>
      </w:r>
      <w:r w:rsidR="00551092" w:rsidRPr="006563EA">
        <w:rPr>
          <w:rFonts w:ascii="Calibri" w:eastAsia="Calibri" w:hAnsi="Calibri" w:cs="Arial"/>
          <w:sz w:val="22"/>
          <w:szCs w:val="22"/>
        </w:rPr>
        <w:t>twofold</w:t>
      </w:r>
      <w:r w:rsidRPr="006563EA">
        <w:rPr>
          <w:rFonts w:ascii="Calibri" w:eastAsia="Calibri" w:hAnsi="Calibri" w:cs="Arial"/>
          <w:sz w:val="22"/>
          <w:szCs w:val="22"/>
        </w:rPr>
        <w:t xml:space="preserve">: </w:t>
      </w:r>
    </w:p>
    <w:p w:rsidR="00F315A2" w:rsidRPr="006563EA" w:rsidRDefault="00F315A2" w:rsidP="009A0C18">
      <w:pPr>
        <w:numPr>
          <w:ilvl w:val="0"/>
          <w:numId w:val="31"/>
        </w:numPr>
        <w:jc w:val="both"/>
        <w:rPr>
          <w:rFonts w:ascii="Calibri" w:eastAsia="Calibri" w:hAnsi="Calibri" w:cs="Arial"/>
          <w:sz w:val="22"/>
          <w:szCs w:val="22"/>
        </w:rPr>
      </w:pPr>
      <w:r w:rsidRPr="006563EA">
        <w:rPr>
          <w:rFonts w:ascii="Calibri" w:eastAsia="Calibri" w:hAnsi="Calibri" w:cs="Arial"/>
          <w:sz w:val="22"/>
          <w:szCs w:val="22"/>
        </w:rPr>
        <w:t xml:space="preserve">To catalyze a policy debate on creating </w:t>
      </w:r>
      <w:r w:rsidR="006563EA" w:rsidRPr="006563EA">
        <w:rPr>
          <w:rFonts w:ascii="Calibri" w:eastAsia="Calibri" w:hAnsi="Calibri" w:cs="Arial"/>
          <w:sz w:val="22"/>
          <w:szCs w:val="22"/>
        </w:rPr>
        <w:t xml:space="preserve">effective </w:t>
      </w:r>
      <w:r w:rsidRPr="006563EA">
        <w:rPr>
          <w:rFonts w:ascii="Calibri" w:eastAsia="Calibri" w:hAnsi="Calibri" w:cs="Arial"/>
          <w:sz w:val="22"/>
          <w:szCs w:val="22"/>
        </w:rPr>
        <w:t xml:space="preserve">environments </w:t>
      </w:r>
      <w:r w:rsidR="006563EA" w:rsidRPr="006563EA">
        <w:rPr>
          <w:rFonts w:ascii="Calibri" w:eastAsia="Calibri" w:hAnsi="Calibri" w:cs="Arial"/>
          <w:sz w:val="22"/>
          <w:szCs w:val="22"/>
        </w:rPr>
        <w:t xml:space="preserve">that will enable cities to become productive, sustainable, inclusive and bankable. The debate will constitute a core component of the Cities Alliance’s advocacy campaign in Africa supported by a diagnostic description of the state of decentralization in Africa. </w:t>
      </w:r>
    </w:p>
    <w:p w:rsidR="00F315A2" w:rsidRPr="006563EA" w:rsidRDefault="00FA7129" w:rsidP="009A0C18">
      <w:pPr>
        <w:numPr>
          <w:ilvl w:val="0"/>
          <w:numId w:val="31"/>
        </w:numPr>
        <w:jc w:val="both"/>
        <w:rPr>
          <w:rFonts w:ascii="Calibri" w:eastAsia="Calibri" w:hAnsi="Calibri" w:cs="Arial"/>
          <w:sz w:val="22"/>
          <w:szCs w:val="22"/>
        </w:rPr>
      </w:pPr>
      <w:r>
        <w:rPr>
          <w:rFonts w:ascii="Calibri" w:eastAsia="Calibri" w:hAnsi="Calibri" w:cs="Arial"/>
          <w:sz w:val="22"/>
          <w:szCs w:val="22"/>
        </w:rPr>
        <w:t xml:space="preserve">The analysis </w:t>
      </w:r>
      <w:r w:rsidR="00F315A2" w:rsidRPr="006563EA">
        <w:rPr>
          <w:rFonts w:ascii="Calibri" w:eastAsia="Calibri" w:hAnsi="Calibri" w:cs="Arial"/>
          <w:sz w:val="22"/>
          <w:szCs w:val="22"/>
        </w:rPr>
        <w:t xml:space="preserve">would provide an evidence base to define CA support for sustainable urban transformation using its partnership platform to package tailored advocacy, knowledge and technical advisory support over the course of the next 10 to 20 years.  </w:t>
      </w:r>
    </w:p>
    <w:p w:rsidR="00A939E6" w:rsidRDefault="00A939E6">
      <w:pPr>
        <w:rPr>
          <w:rFonts w:ascii="Calibri" w:hAnsi="Calibri"/>
          <w:sz w:val="22"/>
          <w:szCs w:val="22"/>
          <w:u w:val="single"/>
        </w:rPr>
      </w:pPr>
    </w:p>
    <w:p w:rsidR="00F315A2" w:rsidRPr="00CA7074" w:rsidRDefault="00F315A2">
      <w:pPr>
        <w:rPr>
          <w:rFonts w:ascii="Calibri" w:hAnsi="Calibri"/>
          <w:sz w:val="22"/>
          <w:szCs w:val="22"/>
          <w:u w:val="single"/>
        </w:rPr>
      </w:pPr>
    </w:p>
    <w:p w:rsidR="00D51933" w:rsidRDefault="00D51933">
      <w:pPr>
        <w:rPr>
          <w:rFonts w:ascii="Calibri" w:hAnsi="Calibri"/>
          <w:b/>
          <w:sz w:val="22"/>
          <w:szCs w:val="22"/>
          <w:u w:val="single"/>
        </w:rPr>
      </w:pPr>
      <w:r w:rsidRPr="00CA7074">
        <w:rPr>
          <w:rFonts w:ascii="Calibri" w:hAnsi="Calibri"/>
          <w:b/>
          <w:sz w:val="22"/>
          <w:szCs w:val="22"/>
          <w:u w:val="single"/>
        </w:rPr>
        <w:t>1</w:t>
      </w:r>
      <w:r w:rsidR="00CA7074" w:rsidRPr="00CA7074">
        <w:rPr>
          <w:rFonts w:ascii="Calibri" w:hAnsi="Calibri"/>
          <w:b/>
          <w:sz w:val="22"/>
          <w:szCs w:val="22"/>
          <w:u w:val="single"/>
        </w:rPr>
        <w:t>0</w:t>
      </w:r>
      <w:r w:rsidRPr="00CA7074">
        <w:rPr>
          <w:rFonts w:ascii="Calibri" w:hAnsi="Calibri"/>
          <w:b/>
          <w:sz w:val="22"/>
          <w:szCs w:val="22"/>
          <w:u w:val="single"/>
        </w:rPr>
        <w:t xml:space="preserve">.) Expected Outcomes: </w:t>
      </w:r>
    </w:p>
    <w:p w:rsidR="00E63D10" w:rsidRPr="00E63D10" w:rsidRDefault="00E63D10" w:rsidP="00E63D10">
      <w:pPr>
        <w:numPr>
          <w:ilvl w:val="0"/>
          <w:numId w:val="33"/>
        </w:numPr>
        <w:rPr>
          <w:rFonts w:ascii="Calibri" w:hAnsi="Calibri"/>
          <w:sz w:val="22"/>
          <w:szCs w:val="22"/>
        </w:rPr>
      </w:pPr>
      <w:r w:rsidRPr="00E63D10">
        <w:rPr>
          <w:rFonts w:ascii="Calibri" w:hAnsi="Calibri"/>
          <w:sz w:val="22"/>
          <w:szCs w:val="22"/>
        </w:rPr>
        <w:t xml:space="preserve">Improved evidence based dialogue on decentralization and sustainable urbanization in Africa </w:t>
      </w:r>
    </w:p>
    <w:p w:rsidR="00A939E6" w:rsidRDefault="00073E91" w:rsidP="00073E91">
      <w:pPr>
        <w:numPr>
          <w:ilvl w:val="0"/>
          <w:numId w:val="33"/>
        </w:numPr>
        <w:rPr>
          <w:rFonts w:ascii="Calibri" w:hAnsi="Calibri"/>
          <w:sz w:val="22"/>
          <w:szCs w:val="22"/>
        </w:rPr>
      </w:pPr>
      <w:r>
        <w:rPr>
          <w:rFonts w:ascii="Calibri" w:hAnsi="Calibri"/>
          <w:sz w:val="22"/>
          <w:szCs w:val="22"/>
        </w:rPr>
        <w:t>A s</w:t>
      </w:r>
      <w:r w:rsidR="00A939E6" w:rsidRPr="00A939E6">
        <w:rPr>
          <w:rFonts w:ascii="Calibri" w:hAnsi="Calibri"/>
          <w:sz w:val="22"/>
          <w:szCs w:val="22"/>
        </w:rPr>
        <w:t>trengthened UCLGA Secretariat</w:t>
      </w:r>
      <w:r>
        <w:rPr>
          <w:rFonts w:ascii="Calibri" w:hAnsi="Calibri"/>
          <w:sz w:val="22"/>
          <w:szCs w:val="22"/>
        </w:rPr>
        <w:t xml:space="preserve"> with enhance</w:t>
      </w:r>
      <w:r w:rsidR="00E5063C">
        <w:rPr>
          <w:rFonts w:ascii="Calibri" w:hAnsi="Calibri"/>
          <w:sz w:val="22"/>
          <w:szCs w:val="22"/>
        </w:rPr>
        <w:t>d</w:t>
      </w:r>
      <w:r>
        <w:rPr>
          <w:rFonts w:ascii="Calibri" w:hAnsi="Calibri"/>
          <w:sz w:val="22"/>
          <w:szCs w:val="22"/>
        </w:rPr>
        <w:t xml:space="preserve"> capability to assess and respond to their members needs for tailored services with a particular emphasis on knowledge dissemination and information sharing </w:t>
      </w:r>
    </w:p>
    <w:p w:rsidR="00A939E6" w:rsidRDefault="0001713C" w:rsidP="00073E91">
      <w:pPr>
        <w:numPr>
          <w:ilvl w:val="0"/>
          <w:numId w:val="33"/>
        </w:numPr>
        <w:rPr>
          <w:rFonts w:ascii="Calibri" w:hAnsi="Calibri"/>
          <w:sz w:val="22"/>
          <w:szCs w:val="22"/>
        </w:rPr>
      </w:pPr>
      <w:r>
        <w:rPr>
          <w:rFonts w:ascii="Calibri" w:hAnsi="Calibri"/>
          <w:sz w:val="22"/>
          <w:szCs w:val="22"/>
        </w:rPr>
        <w:t xml:space="preserve">Improved </w:t>
      </w:r>
      <w:r w:rsidR="00A939E6" w:rsidRPr="00A939E6">
        <w:rPr>
          <w:rFonts w:ascii="Calibri" w:hAnsi="Calibri"/>
          <w:sz w:val="22"/>
          <w:szCs w:val="22"/>
        </w:rPr>
        <w:t>knowledge</w:t>
      </w:r>
      <w:r>
        <w:rPr>
          <w:rFonts w:ascii="Calibri" w:hAnsi="Calibri"/>
          <w:sz w:val="22"/>
          <w:szCs w:val="22"/>
        </w:rPr>
        <w:t>, advocacy</w:t>
      </w:r>
      <w:r w:rsidR="00A939E6" w:rsidRPr="00A939E6">
        <w:rPr>
          <w:rFonts w:ascii="Calibri" w:hAnsi="Calibri"/>
          <w:sz w:val="22"/>
          <w:szCs w:val="22"/>
        </w:rPr>
        <w:t xml:space="preserve"> and information services tailored to the needs of the UCLGA member base </w:t>
      </w:r>
    </w:p>
    <w:p w:rsidR="00073E91" w:rsidRDefault="00073E91" w:rsidP="00073E91">
      <w:pPr>
        <w:numPr>
          <w:ilvl w:val="0"/>
          <w:numId w:val="33"/>
        </w:numPr>
        <w:rPr>
          <w:rFonts w:ascii="Calibri" w:hAnsi="Calibri"/>
          <w:sz w:val="22"/>
          <w:szCs w:val="22"/>
        </w:rPr>
      </w:pPr>
      <w:r>
        <w:rPr>
          <w:rFonts w:ascii="Calibri" w:hAnsi="Calibri"/>
          <w:sz w:val="22"/>
          <w:szCs w:val="22"/>
        </w:rPr>
        <w:t>A comprehensive database of UCLGA members and partners</w:t>
      </w:r>
      <w:r w:rsidR="001624FA">
        <w:rPr>
          <w:rFonts w:ascii="Calibri" w:hAnsi="Calibri"/>
          <w:sz w:val="22"/>
          <w:szCs w:val="22"/>
        </w:rPr>
        <w:t xml:space="preserve"> that can be used for a variety of advocacy and capacity building purposes</w:t>
      </w:r>
    </w:p>
    <w:p w:rsidR="00073E91" w:rsidRPr="00073E91" w:rsidRDefault="001624FA" w:rsidP="00073E91">
      <w:pPr>
        <w:numPr>
          <w:ilvl w:val="0"/>
          <w:numId w:val="33"/>
        </w:numPr>
        <w:rPr>
          <w:rFonts w:ascii="Calibri" w:hAnsi="Calibri"/>
          <w:b/>
          <w:sz w:val="22"/>
          <w:szCs w:val="22"/>
          <w:u w:val="single"/>
        </w:rPr>
      </w:pPr>
      <w:r>
        <w:rPr>
          <w:rFonts w:ascii="Calibri" w:hAnsi="Calibri"/>
          <w:sz w:val="22"/>
          <w:szCs w:val="22"/>
        </w:rPr>
        <w:t xml:space="preserve">Improved awareness among African policymakers on the benefits of </w:t>
      </w:r>
      <w:r w:rsidR="00073E91" w:rsidRPr="00073E91">
        <w:rPr>
          <w:rFonts w:ascii="Calibri" w:hAnsi="Calibri"/>
          <w:sz w:val="22"/>
          <w:szCs w:val="22"/>
        </w:rPr>
        <w:t xml:space="preserve">creating </w:t>
      </w:r>
      <w:r>
        <w:rPr>
          <w:rFonts w:ascii="Calibri" w:hAnsi="Calibri"/>
          <w:sz w:val="22"/>
          <w:szCs w:val="22"/>
        </w:rPr>
        <w:t xml:space="preserve">city </w:t>
      </w:r>
      <w:r w:rsidR="00073E91" w:rsidRPr="00073E91">
        <w:rPr>
          <w:rFonts w:ascii="Calibri" w:hAnsi="Calibri"/>
          <w:sz w:val="22"/>
          <w:szCs w:val="22"/>
        </w:rPr>
        <w:t>enabling environments for sustainable urbanization</w:t>
      </w:r>
      <w:r w:rsidR="00073E91" w:rsidRPr="00073E91">
        <w:rPr>
          <w:rFonts w:ascii="Calibri" w:hAnsi="Calibri"/>
          <w:b/>
          <w:sz w:val="22"/>
          <w:szCs w:val="22"/>
        </w:rPr>
        <w:t xml:space="preserve"> </w:t>
      </w:r>
    </w:p>
    <w:p w:rsidR="00294C27" w:rsidRPr="00C42AF6" w:rsidRDefault="00294C27" w:rsidP="00294C27">
      <w:pPr>
        <w:rPr>
          <w:rFonts w:ascii="Calibri" w:hAnsi="Calibri"/>
          <w:sz w:val="22"/>
          <w:szCs w:val="22"/>
          <w:u w:val="single"/>
        </w:rPr>
      </w:pP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r w:rsidRPr="00C42AF6">
        <w:rPr>
          <w:rFonts w:ascii="Calibri" w:hAnsi="Calibri"/>
          <w:sz w:val="22"/>
          <w:szCs w:val="22"/>
          <w:u w:val="single"/>
        </w:rPr>
        <w:tab/>
      </w:r>
    </w:p>
    <w:p w:rsidR="00294C27" w:rsidRPr="00C42AF6" w:rsidRDefault="00294C27">
      <w:pPr>
        <w:rPr>
          <w:rFonts w:ascii="Calibri" w:hAnsi="Calibri"/>
          <w:sz w:val="22"/>
          <w:szCs w:val="22"/>
        </w:rPr>
      </w:pPr>
    </w:p>
    <w:p w:rsidR="005E4AD3" w:rsidRPr="00C42AF6" w:rsidRDefault="005E4AD3" w:rsidP="00294C27">
      <w:pPr>
        <w:rPr>
          <w:rFonts w:ascii="Calibri" w:hAnsi="Calibri"/>
          <w:b/>
          <w:sz w:val="22"/>
          <w:szCs w:val="22"/>
        </w:rPr>
      </w:pPr>
    </w:p>
    <w:p w:rsidR="00472C58" w:rsidRPr="00C42AF6" w:rsidRDefault="00D51933" w:rsidP="00294C27">
      <w:pPr>
        <w:rPr>
          <w:rFonts w:ascii="Calibri" w:hAnsi="Calibri"/>
          <w:b/>
          <w:sz w:val="22"/>
          <w:szCs w:val="22"/>
          <w:u w:val="single"/>
        </w:rPr>
      </w:pPr>
      <w:r>
        <w:rPr>
          <w:rFonts w:ascii="Calibri" w:hAnsi="Calibri"/>
          <w:b/>
          <w:sz w:val="22"/>
          <w:szCs w:val="22"/>
          <w:u w:val="single"/>
        </w:rPr>
        <w:t>1</w:t>
      </w:r>
      <w:r w:rsidR="00CA7074">
        <w:rPr>
          <w:rFonts w:ascii="Calibri" w:hAnsi="Calibri"/>
          <w:b/>
          <w:sz w:val="22"/>
          <w:szCs w:val="22"/>
          <w:u w:val="single"/>
        </w:rPr>
        <w:t>1</w:t>
      </w:r>
      <w:r w:rsidR="00C12789" w:rsidRPr="00C42AF6">
        <w:rPr>
          <w:rFonts w:ascii="Calibri" w:hAnsi="Calibri"/>
          <w:b/>
          <w:sz w:val="22"/>
          <w:szCs w:val="22"/>
          <w:u w:val="single"/>
        </w:rPr>
        <w:t xml:space="preserve">.) </w:t>
      </w:r>
      <w:r w:rsidR="00294C27" w:rsidRPr="00C42AF6">
        <w:rPr>
          <w:rFonts w:ascii="Calibri" w:hAnsi="Calibri"/>
          <w:b/>
          <w:sz w:val="22"/>
          <w:szCs w:val="22"/>
          <w:u w:val="single"/>
        </w:rPr>
        <w:t xml:space="preserve">Activity </w:t>
      </w:r>
      <w:r w:rsidR="00855420" w:rsidRPr="00C42AF6">
        <w:rPr>
          <w:rFonts w:ascii="Calibri" w:hAnsi="Calibri"/>
          <w:b/>
          <w:sz w:val="22"/>
          <w:szCs w:val="22"/>
          <w:u w:val="single"/>
        </w:rPr>
        <w:t xml:space="preserve">Plan </w:t>
      </w:r>
      <w:r w:rsidR="00293006" w:rsidRPr="00C42AF6">
        <w:rPr>
          <w:rFonts w:ascii="Calibri" w:hAnsi="Calibri"/>
          <w:b/>
          <w:sz w:val="22"/>
          <w:szCs w:val="22"/>
          <w:u w:val="single"/>
        </w:rPr>
        <w:t>Summary:</w:t>
      </w:r>
    </w:p>
    <w:p w:rsidR="00472C58" w:rsidRDefault="00472C58" w:rsidP="00294C27">
      <w:pPr>
        <w:rPr>
          <w:rFonts w:ascii="Calibri" w:hAnsi="Calibri"/>
          <w:sz w:val="22"/>
          <w:szCs w:val="22"/>
        </w:rPr>
      </w:pPr>
    </w:p>
    <w:p w:rsidR="00F315A2" w:rsidRPr="00F315A2" w:rsidRDefault="00F315A2" w:rsidP="00F315A2">
      <w:pPr>
        <w:rPr>
          <w:rFonts w:ascii="Calibri" w:hAnsi="Calibri"/>
          <w:sz w:val="22"/>
          <w:szCs w:val="22"/>
        </w:rPr>
      </w:pPr>
      <w:r w:rsidRPr="00F315A2">
        <w:rPr>
          <w:rFonts w:ascii="Calibri" w:hAnsi="Calibri"/>
          <w:sz w:val="22"/>
          <w:szCs w:val="22"/>
        </w:rPr>
        <w:t>Key activities and tasks will be carried out under this initiative</w:t>
      </w:r>
      <w:r w:rsidR="00832AB5">
        <w:rPr>
          <w:rFonts w:ascii="Calibri" w:hAnsi="Calibri"/>
          <w:sz w:val="22"/>
          <w:szCs w:val="22"/>
        </w:rPr>
        <w:t xml:space="preserve"> </w:t>
      </w:r>
      <w:r w:rsidR="00E5063C">
        <w:rPr>
          <w:rFonts w:ascii="Calibri" w:hAnsi="Calibri"/>
          <w:sz w:val="22"/>
          <w:szCs w:val="22"/>
        </w:rPr>
        <w:t xml:space="preserve">and </w:t>
      </w:r>
      <w:r w:rsidR="00832AB5">
        <w:rPr>
          <w:rFonts w:ascii="Calibri" w:hAnsi="Calibri"/>
          <w:sz w:val="22"/>
          <w:szCs w:val="22"/>
        </w:rPr>
        <w:t>include</w:t>
      </w:r>
      <w:r w:rsidRPr="00F315A2">
        <w:rPr>
          <w:rFonts w:ascii="Calibri" w:hAnsi="Calibri"/>
          <w:sz w:val="22"/>
          <w:szCs w:val="22"/>
        </w:rPr>
        <w:t xml:space="preserve">: </w:t>
      </w:r>
    </w:p>
    <w:p w:rsidR="0001563D" w:rsidRDefault="0001563D" w:rsidP="00041081">
      <w:pPr>
        <w:rPr>
          <w:rFonts w:ascii="Calibri" w:hAnsi="Calibri"/>
          <w:sz w:val="22"/>
          <w:szCs w:val="22"/>
        </w:rPr>
      </w:pPr>
      <w:r w:rsidRPr="00CE3357">
        <w:rPr>
          <w:rFonts w:ascii="Calibri" w:hAnsi="Calibri"/>
          <w:b/>
          <w:sz w:val="22"/>
          <w:szCs w:val="22"/>
        </w:rPr>
        <w:t>Component 1:</w:t>
      </w:r>
      <w:r>
        <w:rPr>
          <w:rFonts w:ascii="Calibri" w:hAnsi="Calibri"/>
          <w:sz w:val="22"/>
          <w:szCs w:val="22"/>
        </w:rPr>
        <w:t xml:space="preserve"> Measuring Progress toward Well-Functioning African Cities</w:t>
      </w:r>
    </w:p>
    <w:p w:rsidR="00041081" w:rsidRPr="00041081" w:rsidRDefault="0001563D" w:rsidP="00041081">
      <w:pPr>
        <w:rPr>
          <w:rFonts w:ascii="Calibri" w:hAnsi="Calibri"/>
          <w:sz w:val="22"/>
          <w:szCs w:val="22"/>
        </w:rPr>
      </w:pPr>
      <w:r>
        <w:rPr>
          <w:rFonts w:ascii="Calibri" w:hAnsi="Calibri"/>
          <w:sz w:val="22"/>
          <w:szCs w:val="22"/>
        </w:rPr>
        <w:t xml:space="preserve">&gt; </w:t>
      </w:r>
      <w:r w:rsidR="00041081">
        <w:rPr>
          <w:rFonts w:ascii="Calibri" w:hAnsi="Calibri"/>
          <w:sz w:val="22"/>
          <w:szCs w:val="22"/>
        </w:rPr>
        <w:t>I</w:t>
      </w:r>
      <w:r w:rsidR="00041081" w:rsidRPr="00041081">
        <w:rPr>
          <w:rFonts w:ascii="Calibri" w:hAnsi="Calibri"/>
          <w:sz w:val="22"/>
          <w:szCs w:val="22"/>
        </w:rPr>
        <w:t>mplementing an analytical framework that categorizes key aspects of national enabling environments for well-functioning cities in 50 African countries</w:t>
      </w:r>
      <w:r w:rsidR="00170226">
        <w:rPr>
          <w:rFonts w:ascii="Calibri" w:hAnsi="Calibri"/>
          <w:sz w:val="22"/>
          <w:szCs w:val="22"/>
        </w:rPr>
        <w:t>.</w:t>
      </w:r>
      <w:r w:rsidR="00041081" w:rsidRPr="00041081">
        <w:rPr>
          <w:rFonts w:ascii="Calibri" w:hAnsi="Calibri"/>
          <w:sz w:val="22"/>
          <w:szCs w:val="22"/>
        </w:rPr>
        <w:t xml:space="preserve"> </w:t>
      </w:r>
    </w:p>
    <w:p w:rsidR="00CE3357" w:rsidRDefault="00CE3357" w:rsidP="00F315A2">
      <w:pPr>
        <w:rPr>
          <w:rFonts w:ascii="Calibri" w:hAnsi="Calibri"/>
          <w:b/>
          <w:sz w:val="22"/>
          <w:szCs w:val="22"/>
        </w:rPr>
      </w:pPr>
    </w:p>
    <w:p w:rsidR="00F315A2" w:rsidRPr="00F315A2" w:rsidRDefault="0001563D" w:rsidP="00F315A2">
      <w:pPr>
        <w:rPr>
          <w:rFonts w:ascii="Calibri" w:hAnsi="Calibri"/>
          <w:sz w:val="22"/>
          <w:szCs w:val="22"/>
        </w:rPr>
      </w:pPr>
      <w:r w:rsidRPr="00CE3357">
        <w:rPr>
          <w:rFonts w:ascii="Calibri" w:hAnsi="Calibri"/>
          <w:b/>
          <w:sz w:val="22"/>
          <w:szCs w:val="22"/>
        </w:rPr>
        <w:t>Component 2:</w:t>
      </w:r>
      <w:r>
        <w:rPr>
          <w:rFonts w:ascii="Calibri" w:hAnsi="Calibri"/>
          <w:sz w:val="22"/>
          <w:szCs w:val="22"/>
        </w:rPr>
        <w:t xml:space="preserve"> Knowledge Dissemination&gt; </w:t>
      </w:r>
      <w:r w:rsidR="00832AB5">
        <w:rPr>
          <w:rFonts w:ascii="Calibri" w:hAnsi="Calibri"/>
          <w:sz w:val="22"/>
          <w:szCs w:val="22"/>
        </w:rPr>
        <w:t>R</w:t>
      </w:r>
      <w:r w:rsidR="00F315A2" w:rsidRPr="00F315A2">
        <w:rPr>
          <w:rFonts w:ascii="Calibri" w:hAnsi="Calibri"/>
          <w:sz w:val="22"/>
          <w:szCs w:val="22"/>
        </w:rPr>
        <w:t xml:space="preserve">eviving communications </w:t>
      </w:r>
      <w:r w:rsidR="003A67A8">
        <w:rPr>
          <w:rFonts w:ascii="Calibri" w:hAnsi="Calibri"/>
          <w:sz w:val="22"/>
          <w:szCs w:val="22"/>
        </w:rPr>
        <w:t xml:space="preserve">and outreach </w:t>
      </w:r>
      <w:r w:rsidR="00F315A2" w:rsidRPr="00F315A2">
        <w:rPr>
          <w:rFonts w:ascii="Calibri" w:hAnsi="Calibri"/>
          <w:sz w:val="22"/>
          <w:szCs w:val="22"/>
        </w:rPr>
        <w:t xml:space="preserve">with key stakeholders in cities and national agencies in 50 African countries; </w:t>
      </w:r>
      <w:r w:rsidR="001624FA">
        <w:rPr>
          <w:rFonts w:ascii="Calibri" w:hAnsi="Calibri"/>
          <w:sz w:val="22"/>
          <w:szCs w:val="22"/>
        </w:rPr>
        <w:t>and</w:t>
      </w:r>
    </w:p>
    <w:p w:rsidR="00F315A2" w:rsidRDefault="0001563D" w:rsidP="00F315A2">
      <w:pPr>
        <w:rPr>
          <w:rFonts w:ascii="Calibri" w:hAnsi="Calibri"/>
          <w:sz w:val="22"/>
          <w:szCs w:val="22"/>
        </w:rPr>
      </w:pPr>
      <w:r>
        <w:rPr>
          <w:rFonts w:ascii="Calibri" w:hAnsi="Calibri"/>
          <w:sz w:val="22"/>
          <w:szCs w:val="22"/>
        </w:rPr>
        <w:t xml:space="preserve">&gt; </w:t>
      </w:r>
      <w:r w:rsidR="00832AB5">
        <w:rPr>
          <w:rFonts w:ascii="Calibri" w:hAnsi="Calibri"/>
          <w:sz w:val="22"/>
          <w:szCs w:val="22"/>
        </w:rPr>
        <w:t>P</w:t>
      </w:r>
      <w:r w:rsidR="00F315A2" w:rsidRPr="00F315A2">
        <w:rPr>
          <w:rFonts w:ascii="Calibri" w:hAnsi="Calibri"/>
          <w:sz w:val="22"/>
          <w:szCs w:val="22"/>
        </w:rPr>
        <w:t>ackaging and supplying know</w:t>
      </w:r>
      <w:r w:rsidR="00832AB5">
        <w:rPr>
          <w:rFonts w:ascii="Calibri" w:hAnsi="Calibri"/>
          <w:sz w:val="22"/>
          <w:szCs w:val="22"/>
        </w:rPr>
        <w:t>ledge generated by CA and other partners</w:t>
      </w:r>
      <w:r w:rsidR="00F315A2" w:rsidRPr="00F315A2">
        <w:rPr>
          <w:rFonts w:ascii="Calibri" w:hAnsi="Calibri"/>
          <w:sz w:val="22"/>
          <w:szCs w:val="22"/>
        </w:rPr>
        <w:t xml:space="preserve"> to these stakeholders and developing UCLGA’s knowledge management capacity and strategy with a</w:t>
      </w:r>
      <w:r w:rsidR="001624FA">
        <w:rPr>
          <w:rFonts w:ascii="Calibri" w:hAnsi="Calibri"/>
          <w:sz w:val="22"/>
          <w:szCs w:val="22"/>
        </w:rPr>
        <w:t>n initial</w:t>
      </w:r>
      <w:r w:rsidR="00F315A2" w:rsidRPr="00F315A2">
        <w:rPr>
          <w:rFonts w:ascii="Calibri" w:hAnsi="Calibri"/>
          <w:sz w:val="22"/>
          <w:szCs w:val="22"/>
        </w:rPr>
        <w:t xml:space="preserve"> focus on cou</w:t>
      </w:r>
      <w:r w:rsidR="00041081">
        <w:rPr>
          <w:rFonts w:ascii="Calibri" w:hAnsi="Calibri"/>
          <w:sz w:val="22"/>
          <w:szCs w:val="22"/>
        </w:rPr>
        <w:t>ntry programs</w:t>
      </w:r>
      <w:r w:rsidR="001624FA">
        <w:rPr>
          <w:rFonts w:ascii="Calibri" w:hAnsi="Calibri"/>
          <w:sz w:val="22"/>
          <w:szCs w:val="22"/>
        </w:rPr>
        <w:t xml:space="preserve"> and email dissemination regionally</w:t>
      </w:r>
      <w:r w:rsidR="00170226">
        <w:rPr>
          <w:rFonts w:ascii="Calibri" w:hAnsi="Calibri"/>
          <w:sz w:val="22"/>
          <w:szCs w:val="22"/>
        </w:rPr>
        <w:t>.</w:t>
      </w:r>
      <w:r w:rsidR="00170226" w:rsidRPr="00F315A2">
        <w:rPr>
          <w:rFonts w:ascii="Calibri" w:hAnsi="Calibri"/>
          <w:sz w:val="22"/>
          <w:szCs w:val="22"/>
        </w:rPr>
        <w:t xml:space="preserve"> </w:t>
      </w:r>
    </w:p>
    <w:p w:rsidR="00CE3357" w:rsidRDefault="00CE3357" w:rsidP="00F315A2">
      <w:pPr>
        <w:rPr>
          <w:rFonts w:ascii="Calibri" w:hAnsi="Calibri"/>
          <w:b/>
          <w:sz w:val="22"/>
          <w:szCs w:val="22"/>
        </w:rPr>
      </w:pPr>
    </w:p>
    <w:p w:rsidR="0001563D" w:rsidRDefault="0001563D" w:rsidP="00F315A2">
      <w:pPr>
        <w:rPr>
          <w:rFonts w:ascii="Calibri" w:hAnsi="Calibri"/>
          <w:sz w:val="22"/>
          <w:szCs w:val="22"/>
        </w:rPr>
      </w:pPr>
      <w:r w:rsidRPr="00CE3357">
        <w:rPr>
          <w:rFonts w:ascii="Calibri" w:hAnsi="Calibri"/>
          <w:b/>
          <w:sz w:val="22"/>
          <w:szCs w:val="22"/>
        </w:rPr>
        <w:t xml:space="preserve">Component 3:  </w:t>
      </w:r>
      <w:r>
        <w:rPr>
          <w:rFonts w:ascii="Calibri" w:hAnsi="Calibri"/>
          <w:sz w:val="22"/>
          <w:szCs w:val="22"/>
        </w:rPr>
        <w:t>Joint CA/UCLGA event on Financing African Cities</w:t>
      </w:r>
    </w:p>
    <w:p w:rsidR="0001563D" w:rsidRPr="00F315A2" w:rsidRDefault="00170226" w:rsidP="00170226">
      <w:pPr>
        <w:rPr>
          <w:rFonts w:ascii="Calibri" w:hAnsi="Calibri"/>
          <w:sz w:val="22"/>
          <w:szCs w:val="22"/>
        </w:rPr>
      </w:pPr>
      <w:r>
        <w:rPr>
          <w:rFonts w:ascii="Calibri" w:hAnsi="Calibri"/>
          <w:sz w:val="22"/>
          <w:szCs w:val="22"/>
        </w:rPr>
        <w:t xml:space="preserve">   &gt; </w:t>
      </w:r>
      <w:r w:rsidR="0001563D">
        <w:rPr>
          <w:rFonts w:ascii="Calibri" w:hAnsi="Calibri"/>
          <w:sz w:val="22"/>
          <w:szCs w:val="22"/>
        </w:rPr>
        <w:t>H</w:t>
      </w:r>
      <w:r w:rsidR="0001563D" w:rsidRPr="00041081">
        <w:rPr>
          <w:rFonts w:ascii="Calibri" w:hAnsi="Calibri"/>
          <w:sz w:val="22"/>
          <w:szCs w:val="22"/>
        </w:rPr>
        <w:t>i</w:t>
      </w:r>
      <w:r w:rsidR="0001563D">
        <w:rPr>
          <w:rFonts w:ascii="Calibri" w:hAnsi="Calibri"/>
          <w:sz w:val="22"/>
          <w:szCs w:val="22"/>
        </w:rPr>
        <w:t xml:space="preserve">gh-level </w:t>
      </w:r>
      <w:proofErr w:type="gramStart"/>
      <w:r w:rsidR="0001563D">
        <w:rPr>
          <w:rFonts w:ascii="Calibri" w:hAnsi="Calibri"/>
          <w:sz w:val="22"/>
          <w:szCs w:val="22"/>
        </w:rPr>
        <w:t>ministers</w:t>
      </w:r>
      <w:proofErr w:type="gramEnd"/>
      <w:r w:rsidR="0001563D">
        <w:rPr>
          <w:rFonts w:ascii="Calibri" w:hAnsi="Calibri"/>
          <w:sz w:val="22"/>
          <w:szCs w:val="22"/>
        </w:rPr>
        <w:t xml:space="preserve"> conference of UEMOA countries on Financing African Cities.  </w:t>
      </w:r>
    </w:p>
    <w:p w:rsidR="00CE3357" w:rsidRDefault="00CE3357" w:rsidP="00F315A2">
      <w:pPr>
        <w:rPr>
          <w:rFonts w:ascii="Calibri" w:hAnsi="Calibri"/>
          <w:b/>
          <w:sz w:val="22"/>
          <w:szCs w:val="22"/>
        </w:rPr>
      </w:pPr>
    </w:p>
    <w:p w:rsidR="0001563D" w:rsidRPr="00F315A2" w:rsidRDefault="0001563D" w:rsidP="00F315A2">
      <w:pPr>
        <w:rPr>
          <w:rFonts w:ascii="Calibri" w:hAnsi="Calibri"/>
          <w:sz w:val="22"/>
          <w:szCs w:val="22"/>
        </w:rPr>
      </w:pPr>
      <w:r w:rsidRPr="00CE3357">
        <w:rPr>
          <w:rFonts w:ascii="Calibri" w:hAnsi="Calibri"/>
          <w:b/>
          <w:sz w:val="22"/>
          <w:szCs w:val="22"/>
        </w:rPr>
        <w:t>Component 4:</w:t>
      </w:r>
      <w:r>
        <w:rPr>
          <w:rFonts w:ascii="Calibri" w:hAnsi="Calibri"/>
          <w:sz w:val="22"/>
          <w:szCs w:val="22"/>
        </w:rPr>
        <w:t xml:space="preserve">  </w:t>
      </w:r>
      <w:proofErr w:type="spellStart"/>
      <w:r>
        <w:rPr>
          <w:rFonts w:ascii="Calibri" w:hAnsi="Calibri"/>
          <w:sz w:val="22"/>
          <w:szCs w:val="22"/>
        </w:rPr>
        <w:t>Africities</w:t>
      </w:r>
      <w:proofErr w:type="spellEnd"/>
      <w:r>
        <w:rPr>
          <w:rFonts w:ascii="Calibri" w:hAnsi="Calibri"/>
          <w:sz w:val="22"/>
          <w:szCs w:val="22"/>
        </w:rPr>
        <w:t xml:space="preserve"> 2012</w:t>
      </w:r>
    </w:p>
    <w:p w:rsidR="00F315A2" w:rsidRPr="00F315A2" w:rsidRDefault="0001563D" w:rsidP="00F315A2">
      <w:pPr>
        <w:rPr>
          <w:rFonts w:ascii="Calibri" w:hAnsi="Calibri"/>
          <w:sz w:val="22"/>
          <w:szCs w:val="22"/>
        </w:rPr>
      </w:pPr>
      <w:r>
        <w:rPr>
          <w:rFonts w:ascii="Calibri" w:hAnsi="Calibri"/>
          <w:sz w:val="22"/>
          <w:szCs w:val="22"/>
        </w:rPr>
        <w:t xml:space="preserve">&gt; </w:t>
      </w:r>
      <w:r w:rsidR="00041081">
        <w:rPr>
          <w:rFonts w:ascii="Calibri" w:hAnsi="Calibri"/>
          <w:sz w:val="22"/>
          <w:szCs w:val="22"/>
        </w:rPr>
        <w:t>D</w:t>
      </w:r>
      <w:r w:rsidR="00F315A2" w:rsidRPr="00F315A2">
        <w:rPr>
          <w:rFonts w:ascii="Calibri" w:hAnsi="Calibri"/>
          <w:sz w:val="22"/>
          <w:szCs w:val="22"/>
        </w:rPr>
        <w:t xml:space="preserve">elivering a major joint presence at </w:t>
      </w:r>
      <w:proofErr w:type="spellStart"/>
      <w:r w:rsidR="00F315A2" w:rsidRPr="00F315A2">
        <w:rPr>
          <w:rFonts w:ascii="Calibri" w:hAnsi="Calibri"/>
          <w:sz w:val="22"/>
          <w:szCs w:val="22"/>
        </w:rPr>
        <w:t>Afr</w:t>
      </w:r>
      <w:r w:rsidR="00041081">
        <w:rPr>
          <w:rFonts w:ascii="Calibri" w:hAnsi="Calibri"/>
          <w:sz w:val="22"/>
          <w:szCs w:val="22"/>
        </w:rPr>
        <w:t>iCities</w:t>
      </w:r>
      <w:proofErr w:type="spellEnd"/>
      <w:r w:rsidR="00041081">
        <w:rPr>
          <w:rFonts w:ascii="Calibri" w:hAnsi="Calibri"/>
          <w:sz w:val="22"/>
          <w:szCs w:val="22"/>
        </w:rPr>
        <w:t xml:space="preserve"> in Dakar, December 2012 </w:t>
      </w:r>
    </w:p>
    <w:p w:rsidR="00F315A2" w:rsidRDefault="00F315A2" w:rsidP="00294C27">
      <w:pPr>
        <w:rPr>
          <w:rFonts w:ascii="Calibri" w:hAnsi="Calibri"/>
          <w:sz w:val="22"/>
          <w:szCs w:val="22"/>
        </w:rPr>
      </w:pPr>
    </w:p>
    <w:p w:rsidR="009A0C18" w:rsidRPr="00231F36" w:rsidRDefault="009A0C18" w:rsidP="009A0C18">
      <w:pPr>
        <w:rPr>
          <w:rFonts w:ascii="Calibri" w:hAnsi="Calibri"/>
          <w:b/>
          <w:sz w:val="22"/>
          <w:szCs w:val="22"/>
        </w:rPr>
      </w:pPr>
      <w:r w:rsidRPr="00231F36">
        <w:rPr>
          <w:rFonts w:ascii="Calibri" w:hAnsi="Calibri"/>
          <w:b/>
          <w:sz w:val="22"/>
          <w:szCs w:val="22"/>
        </w:rPr>
        <w:t>Component 1: Measuring Progress toward Well-functioning African Cities</w:t>
      </w:r>
    </w:p>
    <w:p w:rsidR="009A0C18" w:rsidRPr="00231F36" w:rsidRDefault="009A0C18" w:rsidP="0022441C">
      <w:pPr>
        <w:jc w:val="both"/>
        <w:rPr>
          <w:rFonts w:ascii="Calibri" w:hAnsi="Calibri"/>
          <w:sz w:val="22"/>
          <w:szCs w:val="22"/>
        </w:rPr>
      </w:pPr>
      <w:r w:rsidRPr="00231F36">
        <w:rPr>
          <w:rFonts w:ascii="Calibri" w:hAnsi="Calibri"/>
          <w:sz w:val="22"/>
          <w:szCs w:val="22"/>
        </w:rPr>
        <w:t>Rapid and massive urbanization in Africa is an indisputable fact.  Cities increasingly drive national economies across the continent and provide the best opportunities for poor people to prosper.  But cities do not operate in vacuums; to maximize poverty reduction and sustainable growth, cities require supportive—or at least benign—national enabling environments.</w:t>
      </w:r>
    </w:p>
    <w:p w:rsidR="009A0C18" w:rsidRPr="00231F36" w:rsidRDefault="009A0C18" w:rsidP="00231F36">
      <w:pPr>
        <w:rPr>
          <w:rFonts w:ascii="Calibri" w:hAnsi="Calibri"/>
          <w:sz w:val="22"/>
          <w:szCs w:val="22"/>
        </w:rPr>
      </w:pPr>
    </w:p>
    <w:p w:rsidR="009A0C18" w:rsidRPr="00231F36" w:rsidRDefault="009A0C18" w:rsidP="0022441C">
      <w:pPr>
        <w:jc w:val="both"/>
        <w:rPr>
          <w:rFonts w:ascii="Calibri" w:hAnsi="Calibri"/>
          <w:sz w:val="22"/>
          <w:szCs w:val="22"/>
        </w:rPr>
      </w:pPr>
      <w:r w:rsidRPr="00231F36">
        <w:rPr>
          <w:rFonts w:ascii="Calibri" w:hAnsi="Calibri"/>
          <w:sz w:val="22"/>
          <w:szCs w:val="22"/>
        </w:rPr>
        <w:t xml:space="preserve">CA and UCLGA have identified 10 commonly agreed, key elements of enabling environments for well-functioning cities (see Annex A).  Fifty countries in Africa will be assessed and rated according to these criteria. This will create a framework for thinking about cities which currently doesn’t exist. The first report will in essence be a political exercise aimed at starting the debate around decentralization and sustainable urban development. The results of this assessment will be publicized and updated regularly.  The first regional report will be targeted for release at </w:t>
      </w:r>
      <w:proofErr w:type="spellStart"/>
      <w:r w:rsidRPr="00231F36">
        <w:rPr>
          <w:rFonts w:ascii="Calibri" w:hAnsi="Calibri"/>
          <w:sz w:val="22"/>
          <w:szCs w:val="22"/>
        </w:rPr>
        <w:t>AfriCities</w:t>
      </w:r>
      <w:proofErr w:type="spellEnd"/>
      <w:r w:rsidRPr="00231F36">
        <w:rPr>
          <w:rFonts w:ascii="Calibri" w:hAnsi="Calibri"/>
          <w:sz w:val="22"/>
          <w:szCs w:val="22"/>
        </w:rPr>
        <w:t xml:space="preserve"> in December 2012. These ratings will further serve as baseline data for the Africa Action Plan Results Framework. These country ratings will provide: </w:t>
      </w:r>
    </w:p>
    <w:p w:rsidR="009A0C18" w:rsidRPr="004370D7" w:rsidRDefault="009A0C18" w:rsidP="0022441C">
      <w:pPr>
        <w:pStyle w:val="ListParagraph"/>
        <w:numPr>
          <w:ilvl w:val="3"/>
          <w:numId w:val="34"/>
        </w:numPr>
        <w:ind w:left="720"/>
        <w:jc w:val="both"/>
      </w:pPr>
      <w:r w:rsidRPr="00177A5B">
        <w:t xml:space="preserve">Roadmaps for Reform - </w:t>
      </w:r>
      <w:r>
        <w:t xml:space="preserve">The City Enabling Environment (CEE) ratings will assist UCLGA and other CA members in focusing on the key reforms required in each country to promote pro-poor, well-functioning cities. CA knowledge, advocacy and advisory services will be tailored to assist countries to undertake reforms to improve ratings.  </w:t>
      </w:r>
    </w:p>
    <w:p w:rsidR="009A0C18" w:rsidRDefault="009A0C18" w:rsidP="0022441C">
      <w:pPr>
        <w:pStyle w:val="ListParagraph"/>
        <w:numPr>
          <w:ilvl w:val="3"/>
          <w:numId w:val="34"/>
        </w:numPr>
        <w:ind w:left="720"/>
        <w:jc w:val="both"/>
      </w:pPr>
      <w:r w:rsidRPr="00177A5B">
        <w:t xml:space="preserve">Platform for Focused Advocacy - </w:t>
      </w:r>
      <w:r>
        <w:t xml:space="preserve">The </w:t>
      </w:r>
      <w:proofErr w:type="spellStart"/>
      <w:r>
        <w:t>CEEratings</w:t>
      </w:r>
      <w:proofErr w:type="spellEnd"/>
      <w:r>
        <w:t xml:space="preserve"> will sharply focus UCLGA, CA and development partners’ advocacy in each of the rated countries. These ratings could also be used in conjunction with an incentive system, such as the Mo Ibrahim Awards, to encourage countries to undertake the necessary reforms. </w:t>
      </w:r>
    </w:p>
    <w:p w:rsidR="00170226" w:rsidRDefault="009A0C18" w:rsidP="00170226">
      <w:pPr>
        <w:pStyle w:val="ListParagraph"/>
        <w:numPr>
          <w:ilvl w:val="0"/>
          <w:numId w:val="34"/>
        </w:numPr>
        <w:jc w:val="both"/>
      </w:pPr>
      <w:r w:rsidRPr="00177A5B">
        <w:t xml:space="preserve">Accessing Programmatic Support - </w:t>
      </w:r>
      <w:r>
        <w:t xml:space="preserve">The </w:t>
      </w:r>
      <w:proofErr w:type="spellStart"/>
      <w:r>
        <w:t>CEEratings</w:t>
      </w:r>
      <w:proofErr w:type="spellEnd"/>
      <w:r>
        <w:t xml:space="preserve"> can be used to identify minimum access criteria for country program </w:t>
      </w:r>
      <w:r w:rsidR="00B82E8A">
        <w:t xml:space="preserve">and other types of </w:t>
      </w:r>
      <w:r>
        <w:t>support through CA,</w:t>
      </w:r>
      <w:bookmarkStart w:id="0" w:name="_GoBack"/>
      <w:bookmarkEnd w:id="0"/>
      <w:r>
        <w:t xml:space="preserve"> UCLGA, and development partners.  All UCLGA member countries will receive tailored </w:t>
      </w:r>
      <w:r w:rsidR="00CB502E">
        <w:t>knowledge support</w:t>
      </w:r>
      <w:r>
        <w:t xml:space="preserve">.  Member countries that are committed to achieving </w:t>
      </w:r>
      <w:proofErr w:type="spellStart"/>
      <w:r>
        <w:t>CEEratings</w:t>
      </w:r>
      <w:proofErr w:type="spellEnd"/>
      <w:r>
        <w:t xml:space="preserve"> that qualify for programmatic support </w:t>
      </w:r>
      <w:r>
        <w:lastRenderedPageBreak/>
        <w:t xml:space="preserve">(e.g. countries with serious actions plans) will receive tailored support required to do so.  The ratings can serve to help set the agenda for CA members in each country and result in a pipeline of country programs over the next 20 years. </w:t>
      </w:r>
    </w:p>
    <w:p w:rsidR="00A17256" w:rsidRDefault="00A17256" w:rsidP="006F3061">
      <w:pPr>
        <w:rPr>
          <w:rFonts w:ascii="Calibri" w:hAnsi="Calibri"/>
          <w:sz w:val="22"/>
          <w:szCs w:val="22"/>
        </w:rPr>
      </w:pPr>
      <w:r>
        <w:rPr>
          <w:rFonts w:ascii="Calibri" w:hAnsi="Calibri"/>
          <w:sz w:val="22"/>
          <w:szCs w:val="22"/>
        </w:rPr>
        <w:t>In addition to development of the initial CEE Ratings, communications material to promote the ratings and to accompany the release of the study will be produced, and an advocacy campaign desi</w:t>
      </w:r>
      <w:r w:rsidR="00E5063C">
        <w:rPr>
          <w:rFonts w:ascii="Calibri" w:hAnsi="Calibri"/>
          <w:sz w:val="22"/>
          <w:szCs w:val="22"/>
        </w:rPr>
        <w:t>g</w:t>
      </w:r>
      <w:r>
        <w:rPr>
          <w:rFonts w:ascii="Calibri" w:hAnsi="Calibri"/>
          <w:sz w:val="22"/>
          <w:szCs w:val="22"/>
        </w:rPr>
        <w:t xml:space="preserve">ned to support the launch of the project at </w:t>
      </w:r>
      <w:proofErr w:type="spellStart"/>
      <w:r>
        <w:rPr>
          <w:rFonts w:ascii="Calibri" w:hAnsi="Calibri"/>
          <w:sz w:val="22"/>
          <w:szCs w:val="22"/>
        </w:rPr>
        <w:t>Africities</w:t>
      </w:r>
      <w:proofErr w:type="spellEnd"/>
      <w:r>
        <w:rPr>
          <w:rFonts w:ascii="Calibri" w:hAnsi="Calibri"/>
          <w:sz w:val="22"/>
          <w:szCs w:val="22"/>
        </w:rPr>
        <w:t xml:space="preserve">.  Activities to sensitize media to the significance of the CEE ratings and </w:t>
      </w:r>
      <w:proofErr w:type="spellStart"/>
      <w:r>
        <w:rPr>
          <w:rFonts w:ascii="Calibri" w:hAnsi="Calibri"/>
          <w:sz w:val="22"/>
          <w:szCs w:val="22"/>
        </w:rPr>
        <w:t>oo</w:t>
      </w:r>
      <w:r w:rsidR="00E5063C">
        <w:rPr>
          <w:rFonts w:ascii="Calibri" w:hAnsi="Calibri"/>
          <w:sz w:val="22"/>
          <w:szCs w:val="22"/>
        </w:rPr>
        <w:t>t</w:t>
      </w:r>
      <w:r>
        <w:rPr>
          <w:rFonts w:ascii="Calibri" w:hAnsi="Calibri"/>
          <w:sz w:val="22"/>
          <w:szCs w:val="22"/>
        </w:rPr>
        <w:t>her</w:t>
      </w:r>
      <w:proofErr w:type="spellEnd"/>
      <w:r>
        <w:rPr>
          <w:rFonts w:ascii="Calibri" w:hAnsi="Calibri"/>
          <w:sz w:val="22"/>
          <w:szCs w:val="22"/>
        </w:rPr>
        <w:t xml:space="preserve"> key UCLGA/CA messages will be undertaken prior to the </w:t>
      </w:r>
      <w:proofErr w:type="spellStart"/>
      <w:r>
        <w:rPr>
          <w:rFonts w:ascii="Calibri" w:hAnsi="Calibri"/>
          <w:sz w:val="22"/>
          <w:szCs w:val="22"/>
        </w:rPr>
        <w:t>Africities</w:t>
      </w:r>
      <w:proofErr w:type="spellEnd"/>
      <w:r>
        <w:rPr>
          <w:rFonts w:ascii="Calibri" w:hAnsi="Calibri"/>
          <w:sz w:val="22"/>
          <w:szCs w:val="22"/>
        </w:rPr>
        <w:t xml:space="preserve"> events.</w:t>
      </w:r>
    </w:p>
    <w:p w:rsidR="00A17256" w:rsidRDefault="00A17256" w:rsidP="006F3061">
      <w:pPr>
        <w:rPr>
          <w:rFonts w:ascii="Calibri" w:hAnsi="Calibri"/>
          <w:sz w:val="22"/>
          <w:szCs w:val="22"/>
        </w:rPr>
      </w:pPr>
    </w:p>
    <w:p w:rsidR="001A25AF" w:rsidRPr="001A25AF" w:rsidRDefault="001A25AF" w:rsidP="006F3061">
      <w:pPr>
        <w:rPr>
          <w:rFonts w:ascii="Calibri" w:hAnsi="Calibri"/>
          <w:sz w:val="22"/>
          <w:szCs w:val="22"/>
        </w:rPr>
      </w:pPr>
      <w:r>
        <w:rPr>
          <w:rFonts w:ascii="Calibri" w:hAnsi="Calibri"/>
          <w:sz w:val="22"/>
          <w:szCs w:val="22"/>
        </w:rPr>
        <w:t xml:space="preserve">The 2012 costs of this activity are being </w:t>
      </w:r>
      <w:r w:rsidR="00A17256">
        <w:rPr>
          <w:rFonts w:ascii="Calibri" w:hAnsi="Calibri"/>
          <w:sz w:val="22"/>
          <w:szCs w:val="22"/>
        </w:rPr>
        <w:t xml:space="preserve">partially </w:t>
      </w:r>
      <w:r>
        <w:rPr>
          <w:rFonts w:ascii="Calibri" w:hAnsi="Calibri"/>
          <w:sz w:val="22"/>
          <w:szCs w:val="22"/>
        </w:rPr>
        <w:t xml:space="preserve">financed from previously approved budget for expert input for development of Africa regional plans. </w:t>
      </w:r>
    </w:p>
    <w:p w:rsidR="001A25AF" w:rsidRDefault="001A25AF" w:rsidP="006F3061">
      <w:pPr>
        <w:rPr>
          <w:rFonts w:ascii="Calibri" w:hAnsi="Calibri"/>
          <w:b/>
          <w:sz w:val="22"/>
          <w:szCs w:val="22"/>
        </w:rPr>
      </w:pPr>
    </w:p>
    <w:p w:rsidR="006F3061" w:rsidRPr="005379AE" w:rsidRDefault="00D66C05" w:rsidP="006F3061">
      <w:pPr>
        <w:rPr>
          <w:rFonts w:ascii="Calibri" w:hAnsi="Calibri"/>
          <w:b/>
          <w:sz w:val="22"/>
          <w:szCs w:val="22"/>
        </w:rPr>
      </w:pPr>
      <w:r w:rsidRPr="005379AE">
        <w:rPr>
          <w:rFonts w:ascii="Calibri" w:hAnsi="Calibri"/>
          <w:b/>
          <w:sz w:val="22"/>
          <w:szCs w:val="22"/>
        </w:rPr>
        <w:t>Component</w:t>
      </w:r>
      <w:r w:rsidR="006F3061" w:rsidRPr="005379AE">
        <w:rPr>
          <w:rFonts w:ascii="Calibri" w:hAnsi="Calibri"/>
          <w:b/>
          <w:sz w:val="22"/>
          <w:szCs w:val="22"/>
        </w:rPr>
        <w:t xml:space="preserve"> 2: Knowledge Dissemination</w:t>
      </w:r>
    </w:p>
    <w:p w:rsidR="00707731" w:rsidRDefault="00707731" w:rsidP="006F3061">
      <w:pPr>
        <w:jc w:val="both"/>
        <w:rPr>
          <w:rFonts w:ascii="Calibri" w:hAnsi="Calibri"/>
          <w:sz w:val="22"/>
          <w:szCs w:val="22"/>
        </w:rPr>
      </w:pPr>
      <w:r>
        <w:rPr>
          <w:rFonts w:ascii="Calibri" w:hAnsi="Calibri"/>
          <w:sz w:val="22"/>
          <w:szCs w:val="22"/>
        </w:rPr>
        <w:t xml:space="preserve">2.1 Knowledge packaging </w:t>
      </w:r>
    </w:p>
    <w:p w:rsidR="006F3061" w:rsidRPr="00BB0903" w:rsidRDefault="006F3061" w:rsidP="006F3061">
      <w:pPr>
        <w:jc w:val="both"/>
        <w:rPr>
          <w:rFonts w:ascii="Calibri" w:hAnsi="Calibri"/>
          <w:sz w:val="22"/>
          <w:szCs w:val="22"/>
        </w:rPr>
      </w:pPr>
      <w:r w:rsidRPr="00BB0903">
        <w:rPr>
          <w:rFonts w:ascii="Calibri" w:hAnsi="Calibri"/>
          <w:sz w:val="22"/>
          <w:szCs w:val="22"/>
        </w:rPr>
        <w:t>Servicing its members and clients with knowledge and information is a core objective for UCLGA</w:t>
      </w:r>
      <w:r w:rsidR="00B82E8A">
        <w:rPr>
          <w:rFonts w:ascii="Calibri" w:hAnsi="Calibri"/>
          <w:sz w:val="22"/>
          <w:szCs w:val="22"/>
        </w:rPr>
        <w:t xml:space="preserve"> and CA</w:t>
      </w:r>
      <w:r w:rsidR="00BB0903" w:rsidRPr="00BB0903">
        <w:rPr>
          <w:rFonts w:ascii="Calibri" w:hAnsi="Calibri"/>
          <w:sz w:val="22"/>
          <w:szCs w:val="22"/>
        </w:rPr>
        <w:t xml:space="preserve">. In order to respond </w:t>
      </w:r>
      <w:r w:rsidRPr="00BB0903">
        <w:rPr>
          <w:rFonts w:ascii="Calibri" w:hAnsi="Calibri"/>
          <w:sz w:val="22"/>
          <w:szCs w:val="22"/>
        </w:rPr>
        <w:t xml:space="preserve">more strategically to the knowledge and information needs of its members, UCLGA would benefit from strengthening its capacity by including knowledge management as a core function in the Secretariat. For 2012 the priorities would be to strengthen its knowledge management capacity </w:t>
      </w:r>
      <w:r w:rsidR="008C0825">
        <w:rPr>
          <w:rFonts w:ascii="Calibri" w:hAnsi="Calibri"/>
          <w:sz w:val="22"/>
          <w:szCs w:val="22"/>
        </w:rPr>
        <w:t xml:space="preserve">to drive the </w:t>
      </w:r>
      <w:r w:rsidR="00B82E8A">
        <w:rPr>
          <w:rFonts w:ascii="Calibri" w:hAnsi="Calibri"/>
          <w:sz w:val="22"/>
          <w:szCs w:val="22"/>
        </w:rPr>
        <w:t>CA/</w:t>
      </w:r>
      <w:r w:rsidR="008C0825">
        <w:rPr>
          <w:rFonts w:ascii="Calibri" w:hAnsi="Calibri"/>
          <w:sz w:val="22"/>
          <w:szCs w:val="22"/>
        </w:rPr>
        <w:t>UCLGA knowledge dissemination system</w:t>
      </w:r>
      <w:r w:rsidR="00B82E8A">
        <w:rPr>
          <w:rFonts w:ascii="Calibri" w:hAnsi="Calibri"/>
          <w:sz w:val="22"/>
          <w:szCs w:val="22"/>
        </w:rPr>
        <w:t xml:space="preserve"> for Africa</w:t>
      </w:r>
      <w:r w:rsidRPr="00BB0903">
        <w:rPr>
          <w:rFonts w:ascii="Calibri" w:hAnsi="Calibri"/>
          <w:sz w:val="22"/>
          <w:szCs w:val="22"/>
        </w:rPr>
        <w:t xml:space="preserve">. </w:t>
      </w:r>
      <w:r w:rsidR="00BB0903" w:rsidRPr="00BB0903">
        <w:rPr>
          <w:rFonts w:ascii="Calibri" w:hAnsi="Calibri"/>
          <w:sz w:val="22"/>
          <w:szCs w:val="22"/>
        </w:rPr>
        <w:t>A Knowledge Management Specialist will be recruit</w:t>
      </w:r>
      <w:r w:rsidR="005B52BF">
        <w:rPr>
          <w:rFonts w:ascii="Calibri" w:hAnsi="Calibri"/>
          <w:sz w:val="22"/>
          <w:szCs w:val="22"/>
        </w:rPr>
        <w:t>ed</w:t>
      </w:r>
      <w:r w:rsidR="00BB0903" w:rsidRPr="00BB0903">
        <w:rPr>
          <w:rFonts w:ascii="Calibri" w:hAnsi="Calibri"/>
          <w:sz w:val="22"/>
          <w:szCs w:val="22"/>
        </w:rPr>
        <w:t xml:space="preserve"> to support the packaging of information products, advocacy and how-to tools structure</w:t>
      </w:r>
      <w:r w:rsidR="005B52BF">
        <w:rPr>
          <w:rFonts w:ascii="Calibri" w:hAnsi="Calibri"/>
          <w:sz w:val="22"/>
          <w:szCs w:val="22"/>
        </w:rPr>
        <w:t>d</w:t>
      </w:r>
      <w:r w:rsidR="00BB0903" w:rsidRPr="00BB0903">
        <w:rPr>
          <w:rFonts w:ascii="Calibri" w:hAnsi="Calibri"/>
          <w:sz w:val="22"/>
          <w:szCs w:val="22"/>
        </w:rPr>
        <w:t xml:space="preserve"> around a thematic focus oriented around a set of priorities agreed with UCLGA. These priorities could include slum upgrading tools and approaches and municipal finance to name a few. </w:t>
      </w:r>
      <w:r w:rsidR="000A6EAD" w:rsidRPr="000A6EAD">
        <w:rPr>
          <w:rFonts w:ascii="Calibri" w:hAnsi="Calibri"/>
          <w:sz w:val="22"/>
          <w:szCs w:val="22"/>
        </w:rPr>
        <w:t xml:space="preserve">CA/UCLGA will jointly develop communications products, such as newsletters and web content, to be branded appropriately as a distinct service provided by CA and UCLGA. </w:t>
      </w:r>
    </w:p>
    <w:p w:rsidR="005E4AD3" w:rsidRDefault="005E4AD3">
      <w:pPr>
        <w:rPr>
          <w:rFonts w:ascii="Calibri" w:hAnsi="Calibri"/>
          <w:b/>
          <w:sz w:val="22"/>
          <w:szCs w:val="22"/>
        </w:rPr>
      </w:pPr>
    </w:p>
    <w:p w:rsidR="00C122A7" w:rsidRPr="00DC6604" w:rsidRDefault="006814F2" w:rsidP="00C122A7">
      <w:pPr>
        <w:rPr>
          <w:rFonts w:ascii="Calibri" w:hAnsi="Calibri"/>
          <w:sz w:val="22"/>
          <w:szCs w:val="22"/>
        </w:rPr>
      </w:pPr>
      <w:r w:rsidRPr="00DC6604">
        <w:rPr>
          <w:rFonts w:ascii="Calibri" w:hAnsi="Calibri"/>
          <w:sz w:val="22"/>
          <w:szCs w:val="22"/>
        </w:rPr>
        <w:t>2.2</w:t>
      </w:r>
      <w:r w:rsidR="00C122A7" w:rsidRPr="00DC6604">
        <w:rPr>
          <w:rFonts w:ascii="Calibri" w:hAnsi="Calibri"/>
          <w:sz w:val="22"/>
          <w:szCs w:val="22"/>
        </w:rPr>
        <w:t xml:space="preserve"> </w:t>
      </w:r>
      <w:r w:rsidR="00C43267" w:rsidRPr="00DC6604">
        <w:rPr>
          <w:rFonts w:ascii="Calibri" w:hAnsi="Calibri"/>
          <w:sz w:val="22"/>
          <w:szCs w:val="22"/>
        </w:rPr>
        <w:t xml:space="preserve">Defining the </w:t>
      </w:r>
      <w:r w:rsidR="00C122A7" w:rsidRPr="00DC6604">
        <w:rPr>
          <w:rFonts w:ascii="Calibri" w:hAnsi="Calibri"/>
          <w:sz w:val="22"/>
          <w:szCs w:val="22"/>
        </w:rPr>
        <w:t xml:space="preserve">UCLGA </w:t>
      </w:r>
      <w:r w:rsidR="00C43267" w:rsidRPr="00DC6604">
        <w:rPr>
          <w:rFonts w:ascii="Calibri" w:hAnsi="Calibri"/>
          <w:sz w:val="22"/>
          <w:szCs w:val="22"/>
        </w:rPr>
        <w:t xml:space="preserve">target audience </w:t>
      </w:r>
    </w:p>
    <w:p w:rsidR="009A0C18" w:rsidRPr="00C122A7" w:rsidRDefault="00C122A7">
      <w:pPr>
        <w:rPr>
          <w:rFonts w:ascii="Calibri" w:hAnsi="Calibri"/>
          <w:sz w:val="22"/>
          <w:szCs w:val="22"/>
        </w:rPr>
      </w:pPr>
      <w:r w:rsidRPr="00C122A7">
        <w:rPr>
          <w:rFonts w:ascii="Calibri" w:hAnsi="Calibri"/>
          <w:sz w:val="22"/>
          <w:szCs w:val="22"/>
        </w:rPr>
        <w:t xml:space="preserve">UCLGA will expand its ability to reach a broad base of members and stakeholders with information and knowledge services. This will be achieved through expanding its database of members and stakeholders with contact details for national </w:t>
      </w:r>
      <w:r w:rsidR="00B82E8A">
        <w:rPr>
          <w:rFonts w:ascii="Calibri" w:hAnsi="Calibri"/>
          <w:sz w:val="22"/>
          <w:szCs w:val="22"/>
        </w:rPr>
        <w:t xml:space="preserve">city and </w:t>
      </w:r>
      <w:r w:rsidRPr="00C122A7">
        <w:rPr>
          <w:rFonts w:ascii="Calibri" w:hAnsi="Calibri"/>
          <w:sz w:val="22"/>
          <w:szCs w:val="22"/>
        </w:rPr>
        <w:t xml:space="preserve">local government associations, key national government ministries and local government practitioners, such as the City Manager, Director of Finance and Directors of Technical Departments, for cities with populations of more than 20,000 residents. This database will be supplemented with the 2012 </w:t>
      </w:r>
      <w:proofErr w:type="spellStart"/>
      <w:r w:rsidRPr="00C122A7">
        <w:rPr>
          <w:rFonts w:ascii="Calibri" w:hAnsi="Calibri"/>
          <w:sz w:val="22"/>
          <w:szCs w:val="22"/>
        </w:rPr>
        <w:t>Africities</w:t>
      </w:r>
      <w:proofErr w:type="spellEnd"/>
      <w:r w:rsidRPr="00C122A7">
        <w:rPr>
          <w:rFonts w:ascii="Calibri" w:hAnsi="Calibri"/>
          <w:sz w:val="22"/>
          <w:szCs w:val="22"/>
        </w:rPr>
        <w:t xml:space="preserve"> attendance register where roughly 5,000 participants are expected to attend.  </w:t>
      </w:r>
    </w:p>
    <w:p w:rsidR="00C122A7" w:rsidRDefault="00C122A7">
      <w:pPr>
        <w:rPr>
          <w:rFonts w:ascii="Calibri" w:hAnsi="Calibri"/>
          <w:b/>
          <w:sz w:val="22"/>
          <w:szCs w:val="22"/>
        </w:rPr>
      </w:pPr>
    </w:p>
    <w:p w:rsidR="004F7E1C" w:rsidRDefault="004F7E1C">
      <w:pPr>
        <w:rPr>
          <w:rFonts w:ascii="Calibri" w:hAnsi="Calibri"/>
          <w:b/>
          <w:sz w:val="22"/>
          <w:szCs w:val="22"/>
        </w:rPr>
      </w:pPr>
      <w:r>
        <w:rPr>
          <w:rFonts w:ascii="Calibri" w:hAnsi="Calibri"/>
          <w:b/>
          <w:sz w:val="22"/>
          <w:szCs w:val="22"/>
        </w:rPr>
        <w:t xml:space="preserve">Component 3: Joint </w:t>
      </w:r>
      <w:r w:rsidRPr="004F7E1C">
        <w:rPr>
          <w:rFonts w:ascii="Calibri" w:hAnsi="Calibri"/>
          <w:b/>
          <w:sz w:val="22"/>
          <w:szCs w:val="22"/>
        </w:rPr>
        <w:t xml:space="preserve">CA/UCLGA </w:t>
      </w:r>
      <w:r w:rsidR="00194391">
        <w:rPr>
          <w:rFonts w:ascii="Calibri" w:hAnsi="Calibri"/>
          <w:b/>
          <w:sz w:val="22"/>
          <w:szCs w:val="22"/>
        </w:rPr>
        <w:t>Conference</w:t>
      </w:r>
      <w:r w:rsidRPr="004F7E1C">
        <w:rPr>
          <w:rFonts w:ascii="Calibri" w:hAnsi="Calibri"/>
          <w:b/>
          <w:sz w:val="22"/>
          <w:szCs w:val="22"/>
        </w:rPr>
        <w:t xml:space="preserve"> on Financing African Cities</w:t>
      </w:r>
    </w:p>
    <w:p w:rsidR="004F7E1C" w:rsidRDefault="004F7E1C">
      <w:pPr>
        <w:rPr>
          <w:rFonts w:ascii="Calibri" w:hAnsi="Calibri"/>
          <w:b/>
          <w:sz w:val="22"/>
          <w:szCs w:val="22"/>
        </w:rPr>
      </w:pPr>
    </w:p>
    <w:p w:rsidR="004F7E1C" w:rsidRPr="004F7E1C" w:rsidRDefault="004F7E1C" w:rsidP="00747893">
      <w:pPr>
        <w:jc w:val="both"/>
        <w:rPr>
          <w:rFonts w:ascii="Calibri" w:hAnsi="Calibri"/>
          <w:sz w:val="22"/>
          <w:szCs w:val="22"/>
        </w:rPr>
      </w:pPr>
      <w:r w:rsidRPr="004F7E1C">
        <w:rPr>
          <w:rFonts w:ascii="Calibri" w:hAnsi="Calibri"/>
          <w:sz w:val="22"/>
          <w:szCs w:val="22"/>
        </w:rPr>
        <w:t xml:space="preserve">This high-level policy advisory forum will target African </w:t>
      </w:r>
      <w:r w:rsidR="002F0BFC">
        <w:rPr>
          <w:rFonts w:ascii="Calibri" w:hAnsi="Calibri"/>
          <w:sz w:val="22"/>
          <w:szCs w:val="22"/>
        </w:rPr>
        <w:t xml:space="preserve">ministers of finance, of decentralization and of urban development </w:t>
      </w:r>
      <w:r w:rsidRPr="004F7E1C">
        <w:rPr>
          <w:rFonts w:ascii="Calibri" w:hAnsi="Calibri"/>
          <w:sz w:val="22"/>
          <w:szCs w:val="22"/>
        </w:rPr>
        <w:t xml:space="preserve"> </w:t>
      </w:r>
      <w:r w:rsidR="00170810">
        <w:rPr>
          <w:rFonts w:ascii="Calibri" w:hAnsi="Calibri"/>
          <w:sz w:val="22"/>
          <w:szCs w:val="22"/>
        </w:rPr>
        <w:t xml:space="preserve"> </w:t>
      </w:r>
      <w:r w:rsidR="00194391">
        <w:rPr>
          <w:rFonts w:ascii="Calibri" w:hAnsi="Calibri"/>
          <w:sz w:val="22"/>
          <w:szCs w:val="22"/>
        </w:rPr>
        <w:t>French-speaking CFA countries</w:t>
      </w:r>
      <w:r w:rsidR="00170810">
        <w:rPr>
          <w:rFonts w:ascii="Calibri" w:hAnsi="Calibri"/>
          <w:sz w:val="22"/>
          <w:szCs w:val="22"/>
        </w:rPr>
        <w:t xml:space="preserve"> (Benin, Burkina Faso, Cote d’Ivoire, Gambia, </w:t>
      </w:r>
      <w:r w:rsidR="00661760">
        <w:rPr>
          <w:rFonts w:ascii="Calibri" w:hAnsi="Calibri"/>
          <w:sz w:val="22"/>
          <w:szCs w:val="22"/>
        </w:rPr>
        <w:t xml:space="preserve">Guinea Bissau, </w:t>
      </w:r>
      <w:r w:rsidR="00170810">
        <w:rPr>
          <w:rFonts w:ascii="Calibri" w:hAnsi="Calibri"/>
          <w:sz w:val="22"/>
          <w:szCs w:val="22"/>
        </w:rPr>
        <w:t>Mali, Senegal and Togo)</w:t>
      </w:r>
      <w:r w:rsidRPr="004F7E1C">
        <w:rPr>
          <w:rFonts w:ascii="Calibri" w:hAnsi="Calibri"/>
          <w:sz w:val="22"/>
          <w:szCs w:val="22"/>
        </w:rPr>
        <w:t xml:space="preserve">. The </w:t>
      </w:r>
      <w:r w:rsidR="00194391">
        <w:rPr>
          <w:rFonts w:ascii="Calibri" w:hAnsi="Calibri"/>
          <w:sz w:val="22"/>
          <w:szCs w:val="22"/>
        </w:rPr>
        <w:t>conference</w:t>
      </w:r>
      <w:r w:rsidRPr="004F7E1C">
        <w:rPr>
          <w:rFonts w:ascii="Calibri" w:hAnsi="Calibri"/>
          <w:sz w:val="22"/>
          <w:szCs w:val="22"/>
        </w:rPr>
        <w:t xml:space="preserve"> </w:t>
      </w:r>
      <w:r w:rsidR="00194391">
        <w:rPr>
          <w:rFonts w:ascii="Calibri" w:hAnsi="Calibri"/>
          <w:sz w:val="22"/>
          <w:szCs w:val="22"/>
        </w:rPr>
        <w:t>would</w:t>
      </w:r>
      <w:r w:rsidR="00194391" w:rsidRPr="004F7E1C">
        <w:rPr>
          <w:rFonts w:ascii="Calibri" w:hAnsi="Calibri"/>
          <w:sz w:val="22"/>
          <w:szCs w:val="22"/>
        </w:rPr>
        <w:t xml:space="preserve"> </w:t>
      </w:r>
      <w:r w:rsidRPr="004F7E1C">
        <w:rPr>
          <w:rFonts w:ascii="Calibri" w:hAnsi="Calibri"/>
          <w:sz w:val="22"/>
          <w:szCs w:val="22"/>
        </w:rPr>
        <w:t xml:space="preserve">be hosted in conjunction with the first West African Economic and Monetary Union </w:t>
      </w:r>
      <w:r w:rsidR="0051688C">
        <w:rPr>
          <w:rFonts w:ascii="Calibri" w:hAnsi="Calibri"/>
          <w:sz w:val="22"/>
          <w:szCs w:val="22"/>
        </w:rPr>
        <w:t xml:space="preserve">(UEMOA) </w:t>
      </w:r>
      <w:r w:rsidRPr="004F7E1C">
        <w:rPr>
          <w:rFonts w:ascii="Calibri" w:hAnsi="Calibri"/>
          <w:sz w:val="22"/>
          <w:szCs w:val="22"/>
        </w:rPr>
        <w:t>meeting for 2012</w:t>
      </w:r>
      <w:r w:rsidR="00194391">
        <w:rPr>
          <w:rFonts w:ascii="Calibri" w:hAnsi="Calibri"/>
          <w:sz w:val="22"/>
          <w:szCs w:val="22"/>
        </w:rPr>
        <w:t xml:space="preserve">, scheduled for April </w:t>
      </w:r>
      <w:r w:rsidR="004A131E">
        <w:rPr>
          <w:rFonts w:ascii="Calibri" w:hAnsi="Calibri"/>
          <w:sz w:val="22"/>
          <w:szCs w:val="22"/>
        </w:rPr>
        <w:t xml:space="preserve">10, </w:t>
      </w:r>
      <w:r w:rsidR="00194391">
        <w:rPr>
          <w:rFonts w:ascii="Calibri" w:hAnsi="Calibri"/>
          <w:sz w:val="22"/>
          <w:szCs w:val="22"/>
        </w:rPr>
        <w:t>2012</w:t>
      </w:r>
      <w:r w:rsidRPr="004F7E1C">
        <w:rPr>
          <w:rFonts w:ascii="Calibri" w:hAnsi="Calibri"/>
          <w:sz w:val="22"/>
          <w:szCs w:val="22"/>
        </w:rPr>
        <w:t xml:space="preserve">. The </w:t>
      </w:r>
      <w:r w:rsidR="00170810">
        <w:rPr>
          <w:rFonts w:ascii="Calibri" w:hAnsi="Calibri"/>
          <w:sz w:val="22"/>
          <w:szCs w:val="22"/>
        </w:rPr>
        <w:t xml:space="preserve">conference will bring together key ministers involved in local government as well as representatives of associations of local authorities in order to foster collective awareness of the urgency to address the priorities of cities for responding to the challenges and opportunities of rapid urbanization, and define a roadmap that can assist countries in the definition </w:t>
      </w:r>
      <w:r w:rsidR="004A131E">
        <w:rPr>
          <w:rFonts w:ascii="Calibri" w:hAnsi="Calibri"/>
          <w:sz w:val="22"/>
          <w:szCs w:val="22"/>
        </w:rPr>
        <w:t xml:space="preserve">and implementation of relevant actions in response. The conference will focus in particular on financing of urban investments, </w:t>
      </w:r>
      <w:r w:rsidRPr="004F7E1C">
        <w:rPr>
          <w:rFonts w:ascii="Calibri" w:hAnsi="Calibri"/>
          <w:sz w:val="22"/>
          <w:szCs w:val="22"/>
        </w:rPr>
        <w:t>highlight</w:t>
      </w:r>
      <w:r w:rsidR="004A131E">
        <w:rPr>
          <w:rFonts w:ascii="Calibri" w:hAnsi="Calibri"/>
          <w:sz w:val="22"/>
          <w:szCs w:val="22"/>
        </w:rPr>
        <w:t>ing</w:t>
      </w:r>
      <w:r w:rsidRPr="004F7E1C">
        <w:rPr>
          <w:rFonts w:ascii="Calibri" w:hAnsi="Calibri"/>
          <w:sz w:val="22"/>
          <w:szCs w:val="22"/>
        </w:rPr>
        <w:t xml:space="preserve"> key messages from the book on </w:t>
      </w:r>
      <w:r w:rsidRPr="004A131E">
        <w:rPr>
          <w:rFonts w:ascii="Calibri" w:hAnsi="Calibri"/>
          <w:i/>
          <w:sz w:val="22"/>
          <w:szCs w:val="22"/>
        </w:rPr>
        <w:t>Financing African Cities</w:t>
      </w:r>
      <w:r w:rsidRPr="004F7E1C">
        <w:rPr>
          <w:rFonts w:ascii="Calibri" w:hAnsi="Calibri"/>
          <w:sz w:val="22"/>
          <w:szCs w:val="22"/>
        </w:rPr>
        <w:t xml:space="preserve"> by Thierry </w:t>
      </w:r>
      <w:proofErr w:type="spellStart"/>
      <w:r w:rsidRPr="004F7E1C">
        <w:rPr>
          <w:rFonts w:ascii="Calibri" w:hAnsi="Calibri"/>
          <w:sz w:val="22"/>
          <w:szCs w:val="22"/>
        </w:rPr>
        <w:t>Paulais</w:t>
      </w:r>
      <w:proofErr w:type="spellEnd"/>
      <w:r w:rsidRPr="004F7E1C">
        <w:rPr>
          <w:rFonts w:ascii="Calibri" w:hAnsi="Calibri"/>
          <w:sz w:val="22"/>
          <w:szCs w:val="22"/>
        </w:rPr>
        <w:t xml:space="preserve">. </w:t>
      </w:r>
    </w:p>
    <w:p w:rsidR="00194391" w:rsidRPr="004F7E1C" w:rsidRDefault="00194391" w:rsidP="00747893">
      <w:pPr>
        <w:jc w:val="both"/>
        <w:rPr>
          <w:rFonts w:ascii="Calibri" w:hAnsi="Calibri"/>
          <w:sz w:val="22"/>
          <w:szCs w:val="22"/>
        </w:rPr>
      </w:pPr>
    </w:p>
    <w:p w:rsidR="00570683" w:rsidRDefault="00570683" w:rsidP="00747893">
      <w:pPr>
        <w:jc w:val="both"/>
        <w:rPr>
          <w:rFonts w:ascii="Calibri" w:hAnsi="Calibri"/>
          <w:sz w:val="22"/>
          <w:szCs w:val="22"/>
        </w:rPr>
      </w:pPr>
      <w:r>
        <w:rPr>
          <w:rFonts w:ascii="Calibri" w:hAnsi="Calibri"/>
          <w:sz w:val="22"/>
          <w:szCs w:val="22"/>
        </w:rPr>
        <w:lastRenderedPageBreak/>
        <w:t xml:space="preserve">This event would be financed from </w:t>
      </w:r>
      <w:r w:rsidR="001A25AF">
        <w:rPr>
          <w:rFonts w:ascii="Calibri" w:hAnsi="Calibri"/>
          <w:sz w:val="22"/>
          <w:szCs w:val="22"/>
        </w:rPr>
        <w:t>previously approved dissemination budget for Financing African Cities and 2012 budget for policy advocacy in the Africa region.</w:t>
      </w:r>
    </w:p>
    <w:p w:rsidR="001F77C0" w:rsidRDefault="001F77C0" w:rsidP="00747893">
      <w:pPr>
        <w:jc w:val="both"/>
        <w:rPr>
          <w:rFonts w:ascii="Calibri" w:hAnsi="Calibri"/>
          <w:sz w:val="22"/>
          <w:szCs w:val="22"/>
        </w:rPr>
      </w:pPr>
    </w:p>
    <w:p w:rsidR="004F7E1C" w:rsidRDefault="004F7E1C">
      <w:pPr>
        <w:rPr>
          <w:rFonts w:ascii="Calibri" w:hAnsi="Calibri"/>
          <w:b/>
          <w:sz w:val="22"/>
          <w:szCs w:val="22"/>
        </w:rPr>
      </w:pPr>
    </w:p>
    <w:p w:rsidR="004F7E1C" w:rsidRDefault="00921982">
      <w:pPr>
        <w:rPr>
          <w:rFonts w:ascii="Calibri" w:hAnsi="Calibri"/>
          <w:b/>
          <w:sz w:val="22"/>
          <w:szCs w:val="22"/>
        </w:rPr>
      </w:pPr>
      <w:r>
        <w:rPr>
          <w:rFonts w:ascii="Calibri" w:hAnsi="Calibri"/>
          <w:b/>
          <w:sz w:val="22"/>
          <w:szCs w:val="22"/>
        </w:rPr>
        <w:t xml:space="preserve">Component 4: </w:t>
      </w:r>
      <w:proofErr w:type="spellStart"/>
      <w:r>
        <w:rPr>
          <w:rFonts w:ascii="Calibri" w:hAnsi="Calibri"/>
          <w:b/>
          <w:sz w:val="22"/>
          <w:szCs w:val="22"/>
        </w:rPr>
        <w:t>Africities</w:t>
      </w:r>
      <w:proofErr w:type="spellEnd"/>
      <w:r>
        <w:rPr>
          <w:rFonts w:ascii="Calibri" w:hAnsi="Calibri"/>
          <w:b/>
          <w:sz w:val="22"/>
          <w:szCs w:val="22"/>
        </w:rPr>
        <w:t xml:space="preserve">, Senegal, December 2012 </w:t>
      </w:r>
    </w:p>
    <w:p w:rsidR="00E5102B" w:rsidRDefault="00E5102B">
      <w:pPr>
        <w:rPr>
          <w:rFonts w:ascii="Calibri" w:hAnsi="Calibri"/>
          <w:b/>
          <w:sz w:val="22"/>
          <w:szCs w:val="22"/>
        </w:rPr>
      </w:pPr>
    </w:p>
    <w:p w:rsidR="00921982" w:rsidRDefault="00061585" w:rsidP="003D75A9">
      <w:pPr>
        <w:jc w:val="both"/>
        <w:rPr>
          <w:rFonts w:ascii="Calibri" w:hAnsi="Calibri"/>
          <w:sz w:val="22"/>
          <w:szCs w:val="22"/>
        </w:rPr>
      </w:pPr>
      <w:proofErr w:type="spellStart"/>
      <w:r w:rsidRPr="00061585">
        <w:rPr>
          <w:rFonts w:ascii="Calibri" w:hAnsi="Calibri"/>
          <w:sz w:val="22"/>
          <w:szCs w:val="22"/>
        </w:rPr>
        <w:t>Africities</w:t>
      </w:r>
      <w:proofErr w:type="spellEnd"/>
      <w:r w:rsidRPr="00061585">
        <w:rPr>
          <w:rFonts w:ascii="Calibri" w:hAnsi="Calibri"/>
          <w:sz w:val="22"/>
          <w:szCs w:val="22"/>
        </w:rPr>
        <w:t xml:space="preserve"> will be used as the platform to launch the City Enabling Environment Rating Report and to catalyze the debate on the state of decentralization in Africa. </w:t>
      </w:r>
      <w:r w:rsidR="00540DE4">
        <w:rPr>
          <w:rFonts w:ascii="Calibri" w:hAnsi="Calibri"/>
          <w:sz w:val="22"/>
          <w:szCs w:val="22"/>
        </w:rPr>
        <w:t xml:space="preserve">The debate will be supported by Cities Alliance and its Policy Advisory Forum during a special session at the event. CA will </w:t>
      </w:r>
      <w:r w:rsidR="008F0E8F">
        <w:rPr>
          <w:rFonts w:ascii="Calibri" w:hAnsi="Calibri"/>
          <w:sz w:val="22"/>
          <w:szCs w:val="22"/>
        </w:rPr>
        <w:t xml:space="preserve">co-sponsor a Thematic Session on Financing African Cities, and will </w:t>
      </w:r>
      <w:r w:rsidR="00540DE4">
        <w:rPr>
          <w:rFonts w:ascii="Calibri" w:hAnsi="Calibri"/>
          <w:sz w:val="22"/>
          <w:szCs w:val="22"/>
        </w:rPr>
        <w:t>further support special session</w:t>
      </w:r>
      <w:r w:rsidR="008F0E8F">
        <w:rPr>
          <w:rFonts w:ascii="Calibri" w:hAnsi="Calibri"/>
          <w:sz w:val="22"/>
          <w:szCs w:val="22"/>
        </w:rPr>
        <w:t>s</w:t>
      </w:r>
      <w:r w:rsidR="00540DE4">
        <w:rPr>
          <w:rFonts w:ascii="Calibri" w:hAnsi="Calibri"/>
          <w:sz w:val="22"/>
          <w:szCs w:val="22"/>
        </w:rPr>
        <w:t xml:space="preserve"> </w:t>
      </w:r>
      <w:r w:rsidR="008F0E8F">
        <w:rPr>
          <w:rFonts w:ascii="Calibri" w:hAnsi="Calibri"/>
          <w:sz w:val="22"/>
          <w:szCs w:val="22"/>
        </w:rPr>
        <w:t xml:space="preserve">(to be confirmed) </w:t>
      </w:r>
      <w:r w:rsidR="00540DE4">
        <w:rPr>
          <w:rFonts w:ascii="Calibri" w:hAnsi="Calibri"/>
          <w:sz w:val="22"/>
          <w:szCs w:val="22"/>
        </w:rPr>
        <w:t xml:space="preserve">on </w:t>
      </w:r>
      <w:r w:rsidR="008F0E8F">
        <w:rPr>
          <w:rFonts w:ascii="Calibri" w:hAnsi="Calibri"/>
          <w:sz w:val="22"/>
          <w:szCs w:val="22"/>
        </w:rPr>
        <w:t xml:space="preserve">the City Enabling Environment </w:t>
      </w:r>
      <w:proofErr w:type="gramStart"/>
      <w:r w:rsidR="008F0E8F">
        <w:rPr>
          <w:rFonts w:ascii="Calibri" w:hAnsi="Calibri"/>
          <w:sz w:val="22"/>
          <w:szCs w:val="22"/>
        </w:rPr>
        <w:t>Ratings,</w:t>
      </w:r>
      <w:proofErr w:type="gramEnd"/>
      <w:r w:rsidR="008F0E8F">
        <w:rPr>
          <w:rFonts w:ascii="Calibri" w:hAnsi="Calibri"/>
          <w:sz w:val="22"/>
          <w:szCs w:val="22"/>
        </w:rPr>
        <w:t xml:space="preserve"> and on </w:t>
      </w:r>
      <w:r w:rsidR="00540DE4">
        <w:rPr>
          <w:rFonts w:ascii="Calibri" w:hAnsi="Calibri"/>
          <w:sz w:val="22"/>
          <w:szCs w:val="22"/>
        </w:rPr>
        <w:t xml:space="preserve">Pro-poor Housing Policies in partnership with other members such as UN-Habitat and AFD. </w:t>
      </w:r>
      <w:r w:rsidR="00323501">
        <w:rPr>
          <w:rFonts w:ascii="Calibri" w:hAnsi="Calibri"/>
          <w:sz w:val="22"/>
          <w:szCs w:val="22"/>
        </w:rPr>
        <w:t xml:space="preserve">These </w:t>
      </w:r>
      <w:r w:rsidR="008F0E8F">
        <w:rPr>
          <w:rFonts w:ascii="Calibri" w:hAnsi="Calibri"/>
          <w:sz w:val="22"/>
          <w:szCs w:val="22"/>
        </w:rPr>
        <w:t xml:space="preserve">thematic and </w:t>
      </w:r>
      <w:r w:rsidR="00323501">
        <w:rPr>
          <w:rFonts w:ascii="Calibri" w:hAnsi="Calibri"/>
          <w:sz w:val="22"/>
          <w:szCs w:val="22"/>
        </w:rPr>
        <w:t xml:space="preserve">special sessions will be used to convey key advocacy messages, stimulate debate and disseminate tools and information to enhance local governments and their partners ability to respond in a more informed manner to issues affecting sustainable urbanization. </w:t>
      </w:r>
    </w:p>
    <w:p w:rsidR="008F0E8F" w:rsidRDefault="008F0E8F" w:rsidP="003D75A9">
      <w:pPr>
        <w:jc w:val="both"/>
        <w:rPr>
          <w:rFonts w:ascii="Calibri" w:hAnsi="Calibri"/>
          <w:sz w:val="22"/>
          <w:szCs w:val="22"/>
        </w:rPr>
      </w:pPr>
    </w:p>
    <w:p w:rsidR="008F0E8F" w:rsidRDefault="008C453A" w:rsidP="003D75A9">
      <w:pPr>
        <w:jc w:val="both"/>
        <w:rPr>
          <w:rFonts w:ascii="Calibri" w:hAnsi="Calibri"/>
          <w:sz w:val="22"/>
          <w:szCs w:val="22"/>
        </w:rPr>
      </w:pPr>
      <w:r>
        <w:rPr>
          <w:rFonts w:ascii="Calibri" w:hAnsi="Calibri"/>
          <w:sz w:val="22"/>
          <w:szCs w:val="22"/>
        </w:rPr>
        <w:t>In addition, the CA will sponsor an exhibition booth for active dissemination of knowledge products and promotion of key messages.</w:t>
      </w:r>
    </w:p>
    <w:p w:rsidR="00C71363" w:rsidRDefault="00C71363" w:rsidP="003D75A9">
      <w:pPr>
        <w:jc w:val="both"/>
        <w:rPr>
          <w:rFonts w:ascii="Calibri" w:hAnsi="Calibri"/>
          <w:sz w:val="22"/>
          <w:szCs w:val="22"/>
        </w:rPr>
      </w:pPr>
    </w:p>
    <w:p w:rsidR="00C71363" w:rsidRPr="00061585" w:rsidRDefault="00C71363" w:rsidP="003D75A9">
      <w:pPr>
        <w:jc w:val="both"/>
        <w:rPr>
          <w:rFonts w:ascii="Calibri" w:hAnsi="Calibri"/>
          <w:sz w:val="22"/>
          <w:szCs w:val="22"/>
        </w:rPr>
      </w:pPr>
    </w:p>
    <w:p w:rsidR="00921982" w:rsidRPr="00C42AF6" w:rsidRDefault="00921982">
      <w:pPr>
        <w:rPr>
          <w:rFonts w:ascii="Calibri" w:hAnsi="Calibri"/>
          <w:b/>
          <w:sz w:val="22"/>
          <w:szCs w:val="22"/>
        </w:rPr>
      </w:pPr>
    </w:p>
    <w:p w:rsidR="00294C27" w:rsidRPr="00C42AF6" w:rsidRDefault="00D51933">
      <w:pPr>
        <w:rPr>
          <w:rFonts w:ascii="Calibri" w:hAnsi="Calibri"/>
          <w:b/>
          <w:sz w:val="22"/>
          <w:szCs w:val="22"/>
          <w:u w:val="single"/>
        </w:rPr>
      </w:pPr>
      <w:r>
        <w:rPr>
          <w:rFonts w:ascii="Calibri" w:hAnsi="Calibri"/>
          <w:b/>
          <w:sz w:val="22"/>
          <w:szCs w:val="22"/>
          <w:u w:val="single"/>
        </w:rPr>
        <w:t>1</w:t>
      </w:r>
      <w:r w:rsidR="00CA7074">
        <w:rPr>
          <w:rFonts w:ascii="Calibri" w:hAnsi="Calibri"/>
          <w:b/>
          <w:sz w:val="22"/>
          <w:szCs w:val="22"/>
          <w:u w:val="single"/>
        </w:rPr>
        <w:t>2</w:t>
      </w:r>
      <w:r w:rsidR="00C42AF6" w:rsidRPr="00C42AF6">
        <w:rPr>
          <w:rFonts w:ascii="Calibri" w:hAnsi="Calibri"/>
          <w:b/>
          <w:sz w:val="22"/>
          <w:szCs w:val="22"/>
          <w:u w:val="single"/>
        </w:rPr>
        <w:t>.</w:t>
      </w:r>
      <w:r w:rsidR="00C12789" w:rsidRPr="00C42AF6">
        <w:rPr>
          <w:rFonts w:ascii="Calibri" w:hAnsi="Calibri"/>
          <w:b/>
          <w:sz w:val="22"/>
          <w:szCs w:val="22"/>
          <w:u w:val="single"/>
        </w:rPr>
        <w:t xml:space="preserve">) </w:t>
      </w:r>
      <w:r w:rsidR="00294C27" w:rsidRPr="00C42AF6">
        <w:rPr>
          <w:rFonts w:ascii="Calibri" w:hAnsi="Calibri"/>
          <w:b/>
          <w:sz w:val="22"/>
          <w:szCs w:val="22"/>
          <w:u w:val="single"/>
        </w:rPr>
        <w:t xml:space="preserve">Main </w:t>
      </w:r>
      <w:r w:rsidR="00855420" w:rsidRPr="00C42AF6">
        <w:rPr>
          <w:rFonts w:ascii="Calibri" w:hAnsi="Calibri"/>
          <w:b/>
          <w:sz w:val="22"/>
          <w:szCs w:val="22"/>
          <w:u w:val="single"/>
        </w:rPr>
        <w:t xml:space="preserve">Components / </w:t>
      </w:r>
      <w:r w:rsidR="00294C27" w:rsidRPr="00C42AF6">
        <w:rPr>
          <w:rFonts w:ascii="Calibri" w:hAnsi="Calibri"/>
          <w:b/>
          <w:sz w:val="22"/>
          <w:szCs w:val="22"/>
          <w:u w:val="single"/>
        </w:rPr>
        <w:t xml:space="preserve">Tasks </w:t>
      </w:r>
      <w:r w:rsidR="004A6AE4" w:rsidRPr="00C42AF6">
        <w:rPr>
          <w:rFonts w:ascii="Calibri" w:hAnsi="Calibri"/>
          <w:b/>
          <w:sz w:val="22"/>
          <w:szCs w:val="22"/>
          <w:u w:val="single"/>
        </w:rPr>
        <w:t>and Deliverables</w:t>
      </w:r>
      <w:r w:rsidR="00855420" w:rsidRPr="00C42AF6">
        <w:rPr>
          <w:rFonts w:ascii="Calibri" w:hAnsi="Calibri"/>
          <w:b/>
          <w:sz w:val="22"/>
          <w:szCs w:val="22"/>
          <w:u w:val="single"/>
        </w:rPr>
        <w:t>–</w:t>
      </w:r>
      <w:r w:rsidR="00294C27" w:rsidRPr="00C42AF6">
        <w:rPr>
          <w:rFonts w:ascii="Calibri" w:hAnsi="Calibri"/>
          <w:b/>
          <w:sz w:val="22"/>
          <w:szCs w:val="22"/>
          <w:u w:val="single"/>
        </w:rPr>
        <w:t xml:space="preserve"> </w:t>
      </w:r>
      <w:r w:rsidR="00855420" w:rsidRPr="00C42AF6">
        <w:rPr>
          <w:rFonts w:ascii="Calibri" w:hAnsi="Calibri"/>
          <w:b/>
          <w:sz w:val="22"/>
          <w:szCs w:val="22"/>
          <w:u w:val="single"/>
        </w:rPr>
        <w:t>for each</w:t>
      </w:r>
      <w:r w:rsidR="00294C27" w:rsidRPr="00C42AF6">
        <w:rPr>
          <w:rFonts w:ascii="Calibri" w:hAnsi="Calibri"/>
          <w:b/>
          <w:sz w:val="22"/>
          <w:szCs w:val="22"/>
          <w:u w:val="single"/>
        </w:rPr>
        <w:t xml:space="preserve"> Implementation Partner:</w:t>
      </w:r>
      <w:r w:rsidR="00294C27" w:rsidRPr="00C42AF6">
        <w:rPr>
          <w:rFonts w:ascii="Calibri" w:hAnsi="Calibri"/>
          <w:sz w:val="22"/>
          <w:szCs w:val="22"/>
          <w:u w:val="single"/>
        </w:rPr>
        <w:t xml:space="preserve"> </w:t>
      </w:r>
    </w:p>
    <w:p w:rsidR="00855420" w:rsidRPr="00C42AF6" w:rsidRDefault="00855420">
      <w:pPr>
        <w:rPr>
          <w:rFonts w:ascii="Calibri" w:hAnsi="Calibri"/>
          <w:sz w:val="22"/>
          <w:szCs w:val="22"/>
        </w:rPr>
      </w:pPr>
    </w:p>
    <w:p w:rsidR="00703005" w:rsidRPr="00C42AF6" w:rsidRDefault="00D43A65" w:rsidP="00703005">
      <w:pPr>
        <w:rPr>
          <w:rFonts w:ascii="Calibri" w:hAnsi="Calibri"/>
          <w:sz w:val="22"/>
          <w:szCs w:val="22"/>
        </w:rPr>
      </w:pPr>
      <w:r w:rsidRPr="00C42AF6">
        <w:rPr>
          <w:rFonts w:ascii="Calibri" w:hAnsi="Calibri"/>
          <w:sz w:val="22"/>
          <w:szCs w:val="22"/>
        </w:rPr>
        <w:t>Each activity</w:t>
      </w:r>
      <w:r w:rsidR="002B6217" w:rsidRPr="00C42AF6">
        <w:rPr>
          <w:rFonts w:ascii="Calibri" w:hAnsi="Calibri"/>
          <w:sz w:val="22"/>
          <w:szCs w:val="22"/>
        </w:rPr>
        <w:t xml:space="preserve"> and task</w:t>
      </w:r>
      <w:r w:rsidRPr="00C42AF6">
        <w:rPr>
          <w:rFonts w:ascii="Calibri" w:hAnsi="Calibri"/>
          <w:sz w:val="22"/>
          <w:szCs w:val="22"/>
        </w:rPr>
        <w:t xml:space="preserve"> </w:t>
      </w:r>
      <w:r w:rsidR="00D81779" w:rsidRPr="00C42AF6">
        <w:rPr>
          <w:rFonts w:ascii="Calibri" w:hAnsi="Calibri"/>
          <w:sz w:val="22"/>
          <w:szCs w:val="22"/>
        </w:rPr>
        <w:t>will be implemented based on</w:t>
      </w:r>
      <w:r w:rsidR="002B6217" w:rsidRPr="00C42AF6">
        <w:rPr>
          <w:rFonts w:ascii="Calibri" w:hAnsi="Calibri"/>
          <w:sz w:val="22"/>
          <w:szCs w:val="22"/>
        </w:rPr>
        <w:t xml:space="preserve"> partnership </w:t>
      </w:r>
      <w:r w:rsidR="00D81779" w:rsidRPr="00C42AF6">
        <w:rPr>
          <w:rFonts w:ascii="Calibri" w:hAnsi="Calibri"/>
          <w:sz w:val="22"/>
          <w:szCs w:val="22"/>
        </w:rPr>
        <w:t xml:space="preserve">arrangements </w:t>
      </w:r>
      <w:r w:rsidRPr="00C42AF6">
        <w:rPr>
          <w:rFonts w:ascii="Calibri" w:hAnsi="Calibri"/>
          <w:sz w:val="22"/>
          <w:szCs w:val="22"/>
        </w:rPr>
        <w:t xml:space="preserve">as follows: </w:t>
      </w:r>
    </w:p>
    <w:p w:rsidR="004D66F8" w:rsidRPr="00C42AF6" w:rsidRDefault="004D66F8" w:rsidP="00703005">
      <w:pPr>
        <w:rPr>
          <w:rFonts w:ascii="Calibri" w:hAnsi="Calibri"/>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1"/>
        <w:gridCol w:w="3320"/>
        <w:gridCol w:w="2375"/>
      </w:tblGrid>
      <w:tr w:rsidR="00123AE0" w:rsidRPr="00C42AF6" w:rsidTr="00C12789">
        <w:trPr>
          <w:trHeight w:val="332"/>
        </w:trPr>
        <w:tc>
          <w:tcPr>
            <w:tcW w:w="3881" w:type="dxa"/>
          </w:tcPr>
          <w:p w:rsidR="00123AE0" w:rsidRPr="00C42AF6" w:rsidRDefault="00123AE0" w:rsidP="00703005">
            <w:pPr>
              <w:rPr>
                <w:rFonts w:ascii="Calibri" w:hAnsi="Calibri"/>
                <w:b/>
                <w:sz w:val="22"/>
                <w:szCs w:val="22"/>
              </w:rPr>
            </w:pPr>
            <w:r w:rsidRPr="00C42AF6">
              <w:rPr>
                <w:rFonts w:ascii="Calibri" w:hAnsi="Calibri"/>
                <w:b/>
                <w:sz w:val="22"/>
                <w:szCs w:val="22"/>
              </w:rPr>
              <w:t>ACTIVITIES / TASKS</w:t>
            </w:r>
          </w:p>
        </w:tc>
        <w:tc>
          <w:tcPr>
            <w:tcW w:w="3320" w:type="dxa"/>
          </w:tcPr>
          <w:p w:rsidR="00123AE0" w:rsidRPr="00C42AF6" w:rsidRDefault="00123AE0" w:rsidP="00703005">
            <w:pPr>
              <w:rPr>
                <w:rFonts w:ascii="Calibri" w:hAnsi="Calibri"/>
                <w:b/>
                <w:sz w:val="22"/>
                <w:szCs w:val="22"/>
              </w:rPr>
            </w:pPr>
            <w:r w:rsidRPr="00C42AF6">
              <w:rPr>
                <w:rFonts w:ascii="Calibri" w:hAnsi="Calibri"/>
                <w:b/>
                <w:sz w:val="22"/>
                <w:szCs w:val="22"/>
              </w:rPr>
              <w:t xml:space="preserve"> DELIVERABLES</w:t>
            </w:r>
          </w:p>
        </w:tc>
        <w:tc>
          <w:tcPr>
            <w:tcW w:w="2375" w:type="dxa"/>
          </w:tcPr>
          <w:p w:rsidR="00123AE0" w:rsidRPr="00C42AF6" w:rsidRDefault="00123AE0" w:rsidP="00703005">
            <w:pPr>
              <w:rPr>
                <w:rFonts w:ascii="Calibri" w:hAnsi="Calibri"/>
                <w:b/>
                <w:sz w:val="22"/>
                <w:szCs w:val="22"/>
              </w:rPr>
            </w:pPr>
            <w:r w:rsidRPr="00C42AF6">
              <w:rPr>
                <w:rFonts w:ascii="Calibri" w:hAnsi="Calibri"/>
                <w:b/>
                <w:sz w:val="22"/>
                <w:szCs w:val="22"/>
              </w:rPr>
              <w:t>IMPLEMENTATION PARTNER</w:t>
            </w:r>
          </w:p>
        </w:tc>
      </w:tr>
      <w:tr w:rsidR="00123AE0" w:rsidRPr="00C42AF6" w:rsidTr="00C12789">
        <w:trPr>
          <w:trHeight w:val="350"/>
        </w:trPr>
        <w:tc>
          <w:tcPr>
            <w:tcW w:w="3881" w:type="dxa"/>
          </w:tcPr>
          <w:p w:rsidR="009A0C18" w:rsidRPr="00231F36" w:rsidRDefault="009A0C18" w:rsidP="007D1611">
            <w:pPr>
              <w:rPr>
                <w:rFonts w:ascii="Calibri" w:hAnsi="Calibri"/>
                <w:sz w:val="22"/>
                <w:szCs w:val="22"/>
              </w:rPr>
            </w:pPr>
            <w:r w:rsidRPr="00231F36">
              <w:rPr>
                <w:rFonts w:ascii="Calibri" w:hAnsi="Calibri"/>
                <w:sz w:val="22"/>
                <w:szCs w:val="22"/>
              </w:rPr>
              <w:t>Component 1: Measuring Progress toward Well-functioning African Cities</w:t>
            </w:r>
          </w:p>
          <w:p w:rsidR="00123AE0" w:rsidRPr="00C42AF6" w:rsidRDefault="00123AE0" w:rsidP="00231F36">
            <w:pPr>
              <w:ind w:left="720"/>
              <w:rPr>
                <w:rFonts w:ascii="Calibri" w:hAnsi="Calibri"/>
                <w:sz w:val="22"/>
                <w:szCs w:val="22"/>
              </w:rPr>
            </w:pPr>
          </w:p>
        </w:tc>
        <w:tc>
          <w:tcPr>
            <w:tcW w:w="3320" w:type="dxa"/>
          </w:tcPr>
          <w:p w:rsidR="00123AE0" w:rsidRDefault="0007556C" w:rsidP="00703005">
            <w:pPr>
              <w:rPr>
                <w:rFonts w:ascii="Calibri" w:hAnsi="Calibri"/>
                <w:sz w:val="22"/>
                <w:szCs w:val="22"/>
              </w:rPr>
            </w:pPr>
            <w:r>
              <w:rPr>
                <w:rFonts w:ascii="Calibri" w:hAnsi="Calibri"/>
                <w:sz w:val="22"/>
                <w:szCs w:val="22"/>
              </w:rPr>
              <w:t xml:space="preserve">1.1 </w:t>
            </w:r>
            <w:r w:rsidR="009A0C18">
              <w:rPr>
                <w:rFonts w:ascii="Calibri" w:hAnsi="Calibri"/>
                <w:sz w:val="22"/>
                <w:szCs w:val="22"/>
              </w:rPr>
              <w:t xml:space="preserve">City Enabling Environment (CEE) Rating System </w:t>
            </w:r>
          </w:p>
          <w:p w:rsidR="009A0C18" w:rsidRDefault="0007556C" w:rsidP="00703005">
            <w:pPr>
              <w:rPr>
                <w:rFonts w:ascii="Calibri" w:hAnsi="Calibri"/>
                <w:sz w:val="22"/>
                <w:szCs w:val="22"/>
              </w:rPr>
            </w:pPr>
            <w:r>
              <w:rPr>
                <w:rFonts w:ascii="Calibri" w:hAnsi="Calibri"/>
                <w:sz w:val="22"/>
                <w:szCs w:val="22"/>
              </w:rPr>
              <w:t xml:space="preserve">1.2 </w:t>
            </w:r>
            <w:r w:rsidR="009A0C18">
              <w:rPr>
                <w:rFonts w:ascii="Calibri" w:hAnsi="Calibri"/>
                <w:sz w:val="22"/>
                <w:szCs w:val="22"/>
              </w:rPr>
              <w:t xml:space="preserve">Report which includes an assessment of 50 countries using the CEE Rating System </w:t>
            </w:r>
          </w:p>
          <w:p w:rsidR="0007556C" w:rsidRDefault="0007556C" w:rsidP="0007556C">
            <w:pPr>
              <w:rPr>
                <w:rFonts w:ascii="Calibri" w:hAnsi="Calibri"/>
                <w:sz w:val="22"/>
                <w:szCs w:val="22"/>
              </w:rPr>
            </w:pPr>
            <w:r>
              <w:rPr>
                <w:rFonts w:ascii="Calibri" w:hAnsi="Calibri"/>
                <w:sz w:val="22"/>
                <w:szCs w:val="22"/>
              </w:rPr>
              <w:t xml:space="preserve">1.3 Results from the study produced as a map and displayed at </w:t>
            </w:r>
            <w:proofErr w:type="spellStart"/>
            <w:r>
              <w:rPr>
                <w:rFonts w:ascii="Calibri" w:hAnsi="Calibri"/>
                <w:sz w:val="22"/>
                <w:szCs w:val="22"/>
              </w:rPr>
              <w:t>Africities</w:t>
            </w:r>
            <w:proofErr w:type="spellEnd"/>
            <w:r>
              <w:rPr>
                <w:rFonts w:ascii="Calibri" w:hAnsi="Calibri"/>
                <w:sz w:val="22"/>
                <w:szCs w:val="22"/>
              </w:rPr>
              <w:t xml:space="preserve"> </w:t>
            </w:r>
          </w:p>
          <w:p w:rsidR="005A4F9C" w:rsidRDefault="0007556C" w:rsidP="0007556C">
            <w:pPr>
              <w:rPr>
                <w:rFonts w:ascii="Calibri" w:hAnsi="Calibri"/>
                <w:sz w:val="22"/>
                <w:szCs w:val="22"/>
              </w:rPr>
            </w:pPr>
            <w:r>
              <w:rPr>
                <w:rFonts w:ascii="Calibri" w:hAnsi="Calibri"/>
                <w:sz w:val="22"/>
                <w:szCs w:val="22"/>
              </w:rPr>
              <w:t>1.4 Communications material to accompany the release of the study</w:t>
            </w:r>
            <w:r w:rsidR="00954209">
              <w:rPr>
                <w:rFonts w:ascii="Calibri" w:hAnsi="Calibri"/>
                <w:sz w:val="22"/>
                <w:szCs w:val="22"/>
              </w:rPr>
              <w:t xml:space="preserve">. </w:t>
            </w:r>
          </w:p>
          <w:p w:rsidR="0007556C" w:rsidRPr="00C42AF6" w:rsidRDefault="005A4F9C" w:rsidP="005A4F9C">
            <w:pPr>
              <w:rPr>
                <w:rFonts w:ascii="Calibri" w:hAnsi="Calibri"/>
                <w:sz w:val="22"/>
                <w:szCs w:val="22"/>
              </w:rPr>
            </w:pPr>
            <w:r>
              <w:rPr>
                <w:rFonts w:ascii="Calibri" w:hAnsi="Calibri"/>
                <w:sz w:val="22"/>
                <w:szCs w:val="22"/>
              </w:rPr>
              <w:t>1.5 A</w:t>
            </w:r>
            <w:r w:rsidRPr="005A4F9C">
              <w:rPr>
                <w:rFonts w:ascii="Calibri" w:hAnsi="Calibri"/>
                <w:sz w:val="22"/>
                <w:szCs w:val="22"/>
              </w:rPr>
              <w:t>n advocacy campaign designed to support the launch of the ratings project</w:t>
            </w:r>
            <w:r w:rsidR="0007556C">
              <w:rPr>
                <w:rFonts w:ascii="Calibri" w:hAnsi="Calibri"/>
                <w:sz w:val="22"/>
                <w:szCs w:val="22"/>
              </w:rPr>
              <w:t xml:space="preserve"> </w:t>
            </w:r>
          </w:p>
        </w:tc>
        <w:tc>
          <w:tcPr>
            <w:tcW w:w="2375" w:type="dxa"/>
          </w:tcPr>
          <w:p w:rsidR="00123AE0" w:rsidRPr="00C42AF6" w:rsidRDefault="009A0C18" w:rsidP="005B52BF">
            <w:pPr>
              <w:rPr>
                <w:rFonts w:ascii="Calibri" w:hAnsi="Calibri"/>
                <w:sz w:val="22"/>
                <w:szCs w:val="22"/>
              </w:rPr>
            </w:pPr>
            <w:r>
              <w:rPr>
                <w:rFonts w:ascii="Calibri" w:hAnsi="Calibri"/>
                <w:sz w:val="22"/>
                <w:szCs w:val="22"/>
              </w:rPr>
              <w:t>U</w:t>
            </w:r>
            <w:r w:rsidR="005B52BF">
              <w:rPr>
                <w:rFonts w:ascii="Calibri" w:hAnsi="Calibri"/>
                <w:sz w:val="22"/>
                <w:szCs w:val="22"/>
              </w:rPr>
              <w:t>CL</w:t>
            </w:r>
            <w:r>
              <w:rPr>
                <w:rFonts w:ascii="Calibri" w:hAnsi="Calibri"/>
                <w:sz w:val="22"/>
                <w:szCs w:val="22"/>
              </w:rPr>
              <w:t>GA</w:t>
            </w:r>
            <w:r w:rsidR="00C71363">
              <w:rPr>
                <w:rFonts w:ascii="Calibri" w:hAnsi="Calibri"/>
                <w:sz w:val="22"/>
                <w:szCs w:val="22"/>
              </w:rPr>
              <w:t>/ Cities Alliance</w:t>
            </w:r>
          </w:p>
        </w:tc>
      </w:tr>
      <w:tr w:rsidR="00123AE0" w:rsidRPr="00C42AF6" w:rsidTr="00C12789">
        <w:trPr>
          <w:trHeight w:val="350"/>
        </w:trPr>
        <w:tc>
          <w:tcPr>
            <w:tcW w:w="3881" w:type="dxa"/>
          </w:tcPr>
          <w:p w:rsidR="00D66C05" w:rsidRPr="00D66C05" w:rsidRDefault="00D66C05" w:rsidP="00D66C05">
            <w:pPr>
              <w:rPr>
                <w:rFonts w:ascii="Calibri" w:hAnsi="Calibri"/>
                <w:sz w:val="22"/>
                <w:szCs w:val="22"/>
              </w:rPr>
            </w:pPr>
            <w:r w:rsidRPr="00D66C05">
              <w:rPr>
                <w:rFonts w:ascii="Calibri" w:hAnsi="Calibri"/>
                <w:sz w:val="22"/>
                <w:szCs w:val="22"/>
              </w:rPr>
              <w:t>Component 2: Knowledge Dissemination</w:t>
            </w:r>
          </w:p>
          <w:p w:rsidR="00123AE0" w:rsidRPr="00C42AF6" w:rsidRDefault="00123AE0" w:rsidP="007D1611">
            <w:pPr>
              <w:rPr>
                <w:rFonts w:ascii="Calibri" w:hAnsi="Calibri"/>
                <w:sz w:val="22"/>
                <w:szCs w:val="22"/>
              </w:rPr>
            </w:pPr>
          </w:p>
        </w:tc>
        <w:tc>
          <w:tcPr>
            <w:tcW w:w="3320" w:type="dxa"/>
          </w:tcPr>
          <w:p w:rsidR="00372BE6" w:rsidRPr="00C42AF6" w:rsidRDefault="00372BE6" w:rsidP="00EF10EA">
            <w:pPr>
              <w:rPr>
                <w:rFonts w:ascii="Calibri" w:hAnsi="Calibri"/>
                <w:sz w:val="22"/>
                <w:szCs w:val="22"/>
              </w:rPr>
            </w:pPr>
          </w:p>
        </w:tc>
        <w:tc>
          <w:tcPr>
            <w:tcW w:w="2375" w:type="dxa"/>
          </w:tcPr>
          <w:p w:rsidR="00123AE0" w:rsidRPr="00C42AF6" w:rsidRDefault="00123AE0" w:rsidP="00703005">
            <w:pPr>
              <w:rPr>
                <w:rFonts w:ascii="Calibri" w:hAnsi="Calibri"/>
                <w:sz w:val="22"/>
                <w:szCs w:val="22"/>
              </w:rPr>
            </w:pPr>
          </w:p>
        </w:tc>
      </w:tr>
      <w:tr w:rsidR="008C3ECF" w:rsidRPr="00C42AF6" w:rsidTr="00C12789">
        <w:trPr>
          <w:trHeight w:val="350"/>
        </w:trPr>
        <w:tc>
          <w:tcPr>
            <w:tcW w:w="3881" w:type="dxa"/>
          </w:tcPr>
          <w:p w:rsidR="00CE3357" w:rsidRDefault="008C3ECF" w:rsidP="008C3ECF">
            <w:pPr>
              <w:rPr>
                <w:rFonts w:ascii="Calibri" w:hAnsi="Calibri"/>
                <w:sz w:val="22"/>
                <w:szCs w:val="22"/>
              </w:rPr>
            </w:pPr>
            <w:r w:rsidRPr="008C3ECF">
              <w:rPr>
                <w:rFonts w:ascii="Calibri" w:hAnsi="Calibri"/>
                <w:sz w:val="22"/>
                <w:szCs w:val="22"/>
              </w:rPr>
              <w:t>2.1 Knowledge packaging</w:t>
            </w:r>
          </w:p>
          <w:p w:rsidR="00CE3357" w:rsidRDefault="00CE3357" w:rsidP="008C3ECF">
            <w:pPr>
              <w:rPr>
                <w:rFonts w:ascii="Calibri" w:hAnsi="Calibri"/>
                <w:sz w:val="22"/>
                <w:szCs w:val="22"/>
              </w:rPr>
            </w:pPr>
          </w:p>
          <w:p w:rsidR="008C3ECF" w:rsidRPr="008C3ECF" w:rsidRDefault="00CE3357" w:rsidP="008C3ECF">
            <w:pPr>
              <w:rPr>
                <w:rFonts w:ascii="Calibri" w:hAnsi="Calibri"/>
                <w:sz w:val="22"/>
                <w:szCs w:val="22"/>
              </w:rPr>
            </w:pPr>
            <w:r>
              <w:rPr>
                <w:rFonts w:ascii="Calibri" w:hAnsi="Calibri"/>
                <w:sz w:val="22"/>
                <w:szCs w:val="22"/>
              </w:rPr>
              <w:t>(During 2012, support KM specialist to</w:t>
            </w:r>
            <w:r w:rsidR="00661760">
              <w:rPr>
                <w:rFonts w:ascii="Calibri" w:hAnsi="Calibri"/>
                <w:sz w:val="22"/>
                <w:szCs w:val="22"/>
              </w:rPr>
              <w:t xml:space="preserve"> </w:t>
            </w:r>
            <w:proofErr w:type="gramStart"/>
            <w:r>
              <w:rPr>
                <w:rFonts w:ascii="Calibri" w:hAnsi="Calibri"/>
                <w:sz w:val="22"/>
                <w:szCs w:val="22"/>
              </w:rPr>
              <w:t>advise</w:t>
            </w:r>
            <w:proofErr w:type="gramEnd"/>
            <w:r>
              <w:rPr>
                <w:rFonts w:ascii="Calibri" w:hAnsi="Calibri"/>
                <w:sz w:val="22"/>
                <w:szCs w:val="22"/>
              </w:rPr>
              <w:t xml:space="preserve"> on KM strategy and plans, and building UCLGA KM capacity.)</w:t>
            </w:r>
          </w:p>
          <w:p w:rsidR="008C3ECF" w:rsidRPr="00C42AF6" w:rsidRDefault="008C3ECF" w:rsidP="007D1611">
            <w:pPr>
              <w:rPr>
                <w:rFonts w:ascii="Calibri" w:hAnsi="Calibri"/>
                <w:sz w:val="22"/>
                <w:szCs w:val="22"/>
              </w:rPr>
            </w:pPr>
          </w:p>
        </w:tc>
        <w:tc>
          <w:tcPr>
            <w:tcW w:w="3320" w:type="dxa"/>
          </w:tcPr>
          <w:p w:rsidR="008C3ECF" w:rsidRDefault="008C3ECF" w:rsidP="00D66DD4">
            <w:pPr>
              <w:rPr>
                <w:rFonts w:ascii="Calibri" w:hAnsi="Calibri"/>
                <w:sz w:val="22"/>
                <w:szCs w:val="22"/>
              </w:rPr>
            </w:pPr>
            <w:r>
              <w:rPr>
                <w:rFonts w:ascii="Calibri" w:hAnsi="Calibri"/>
                <w:sz w:val="22"/>
                <w:szCs w:val="22"/>
              </w:rPr>
              <w:lastRenderedPageBreak/>
              <w:t>2.1</w:t>
            </w:r>
            <w:r w:rsidR="00801AED">
              <w:rPr>
                <w:rFonts w:ascii="Calibri" w:hAnsi="Calibri"/>
                <w:sz w:val="22"/>
                <w:szCs w:val="22"/>
              </w:rPr>
              <w:t>.1</w:t>
            </w:r>
            <w:r>
              <w:rPr>
                <w:rFonts w:ascii="Calibri" w:hAnsi="Calibri"/>
                <w:sz w:val="22"/>
                <w:szCs w:val="22"/>
              </w:rPr>
              <w:t xml:space="preserve"> H</w:t>
            </w:r>
            <w:r w:rsidRPr="00EF10EA">
              <w:rPr>
                <w:rFonts w:ascii="Calibri" w:hAnsi="Calibri"/>
                <w:sz w:val="22"/>
                <w:szCs w:val="22"/>
              </w:rPr>
              <w:t>igh level knowledge management strategy, 1 year action plan</w:t>
            </w:r>
          </w:p>
          <w:p w:rsidR="008C3ECF" w:rsidRDefault="008C3ECF" w:rsidP="0023323F">
            <w:pPr>
              <w:rPr>
                <w:rFonts w:ascii="Calibri" w:hAnsi="Calibri"/>
                <w:sz w:val="22"/>
                <w:szCs w:val="22"/>
              </w:rPr>
            </w:pPr>
            <w:r>
              <w:rPr>
                <w:rFonts w:ascii="Calibri" w:hAnsi="Calibri"/>
                <w:sz w:val="22"/>
                <w:szCs w:val="22"/>
              </w:rPr>
              <w:t>2.</w:t>
            </w:r>
            <w:r w:rsidR="00801AED">
              <w:rPr>
                <w:rFonts w:ascii="Calibri" w:hAnsi="Calibri"/>
                <w:sz w:val="22"/>
                <w:szCs w:val="22"/>
              </w:rPr>
              <w:t>1.</w:t>
            </w:r>
            <w:r>
              <w:rPr>
                <w:rFonts w:ascii="Calibri" w:hAnsi="Calibri"/>
                <w:sz w:val="22"/>
                <w:szCs w:val="22"/>
              </w:rPr>
              <w:t xml:space="preserve">2 </w:t>
            </w:r>
            <w:r w:rsidR="0023323F">
              <w:rPr>
                <w:rFonts w:ascii="Calibri" w:hAnsi="Calibri"/>
                <w:sz w:val="22"/>
                <w:szCs w:val="22"/>
              </w:rPr>
              <w:t xml:space="preserve">High level communications and branding strategy </w:t>
            </w:r>
          </w:p>
          <w:p w:rsidR="0023323F" w:rsidRDefault="0023323F" w:rsidP="0023323F">
            <w:pPr>
              <w:rPr>
                <w:rFonts w:ascii="Calibri" w:hAnsi="Calibri"/>
                <w:sz w:val="22"/>
                <w:szCs w:val="22"/>
              </w:rPr>
            </w:pPr>
            <w:r>
              <w:rPr>
                <w:rFonts w:ascii="Calibri" w:hAnsi="Calibri"/>
                <w:sz w:val="22"/>
                <w:szCs w:val="22"/>
              </w:rPr>
              <w:lastRenderedPageBreak/>
              <w:t>2.</w:t>
            </w:r>
            <w:r w:rsidR="00801AED">
              <w:rPr>
                <w:rFonts w:ascii="Calibri" w:hAnsi="Calibri"/>
                <w:sz w:val="22"/>
                <w:szCs w:val="22"/>
              </w:rPr>
              <w:t>1.</w:t>
            </w:r>
            <w:r w:rsidR="002614AC">
              <w:rPr>
                <w:rFonts w:ascii="Calibri" w:hAnsi="Calibri"/>
                <w:sz w:val="22"/>
                <w:szCs w:val="22"/>
              </w:rPr>
              <w:t xml:space="preserve">3 Periodic newsletters and branded web content </w:t>
            </w:r>
          </w:p>
          <w:p w:rsidR="0023323F" w:rsidRDefault="0023323F" w:rsidP="0023323F">
            <w:pPr>
              <w:rPr>
                <w:rFonts w:ascii="Calibri" w:hAnsi="Calibri"/>
                <w:sz w:val="22"/>
                <w:szCs w:val="22"/>
              </w:rPr>
            </w:pPr>
            <w:r>
              <w:rPr>
                <w:rFonts w:ascii="Calibri" w:hAnsi="Calibri"/>
                <w:sz w:val="22"/>
                <w:szCs w:val="22"/>
              </w:rPr>
              <w:t>2.</w:t>
            </w:r>
            <w:r w:rsidR="00801AED">
              <w:rPr>
                <w:rFonts w:ascii="Calibri" w:hAnsi="Calibri"/>
                <w:sz w:val="22"/>
                <w:szCs w:val="22"/>
              </w:rPr>
              <w:t>1.</w:t>
            </w:r>
            <w:r>
              <w:rPr>
                <w:rFonts w:ascii="Calibri" w:hAnsi="Calibri"/>
                <w:sz w:val="22"/>
                <w:szCs w:val="22"/>
              </w:rPr>
              <w:t xml:space="preserve">4 Thematically packaged knowledge and information products </w:t>
            </w:r>
          </w:p>
          <w:p w:rsidR="005411BC" w:rsidRPr="00C42AF6" w:rsidRDefault="005411BC" w:rsidP="0023323F">
            <w:pPr>
              <w:rPr>
                <w:rFonts w:ascii="Calibri" w:hAnsi="Calibri"/>
                <w:sz w:val="22"/>
                <w:szCs w:val="22"/>
              </w:rPr>
            </w:pPr>
            <w:r>
              <w:rPr>
                <w:rFonts w:ascii="Calibri" w:hAnsi="Calibri"/>
                <w:sz w:val="22"/>
                <w:szCs w:val="22"/>
              </w:rPr>
              <w:t xml:space="preserve">2.1.5 Knowledge Management Officer TOR </w:t>
            </w:r>
            <w:r w:rsidR="00CE3357">
              <w:rPr>
                <w:rFonts w:ascii="Calibri" w:hAnsi="Calibri"/>
                <w:sz w:val="22"/>
                <w:szCs w:val="22"/>
              </w:rPr>
              <w:t>and recruitment</w:t>
            </w:r>
          </w:p>
        </w:tc>
        <w:tc>
          <w:tcPr>
            <w:tcW w:w="2375" w:type="dxa"/>
          </w:tcPr>
          <w:p w:rsidR="008C3ECF" w:rsidRPr="00C42AF6" w:rsidRDefault="008C3ECF" w:rsidP="00D66DD4">
            <w:pPr>
              <w:rPr>
                <w:rFonts w:ascii="Calibri" w:hAnsi="Calibri"/>
                <w:sz w:val="22"/>
                <w:szCs w:val="22"/>
              </w:rPr>
            </w:pPr>
            <w:r>
              <w:rPr>
                <w:rFonts w:ascii="Calibri" w:hAnsi="Calibri"/>
                <w:sz w:val="22"/>
                <w:szCs w:val="22"/>
              </w:rPr>
              <w:lastRenderedPageBreak/>
              <w:t>Cities Alliance</w:t>
            </w:r>
            <w:r w:rsidR="00A532BE">
              <w:rPr>
                <w:rFonts w:ascii="Calibri" w:hAnsi="Calibri"/>
                <w:sz w:val="22"/>
                <w:szCs w:val="22"/>
              </w:rPr>
              <w:t xml:space="preserve">/UCLGA </w:t>
            </w:r>
          </w:p>
        </w:tc>
      </w:tr>
      <w:tr w:rsidR="008C3ECF" w:rsidRPr="00C42AF6" w:rsidTr="00C12789">
        <w:trPr>
          <w:trHeight w:val="350"/>
        </w:trPr>
        <w:tc>
          <w:tcPr>
            <w:tcW w:w="3881" w:type="dxa"/>
          </w:tcPr>
          <w:p w:rsidR="00C43267" w:rsidRPr="00C43267" w:rsidRDefault="005B52BF" w:rsidP="006814F2">
            <w:pPr>
              <w:rPr>
                <w:rFonts w:ascii="Calibri" w:hAnsi="Calibri"/>
                <w:sz w:val="22"/>
                <w:szCs w:val="22"/>
              </w:rPr>
            </w:pPr>
            <w:r>
              <w:rPr>
                <w:rFonts w:ascii="Calibri" w:hAnsi="Calibri"/>
                <w:sz w:val="22"/>
                <w:szCs w:val="22"/>
              </w:rPr>
              <w:lastRenderedPageBreak/>
              <w:t xml:space="preserve">2.2 </w:t>
            </w:r>
            <w:r w:rsidR="00C43267" w:rsidRPr="00C43267">
              <w:rPr>
                <w:rFonts w:ascii="Calibri" w:hAnsi="Calibri"/>
                <w:sz w:val="22"/>
                <w:szCs w:val="22"/>
              </w:rPr>
              <w:t>Defining the UCLGA target audience</w:t>
            </w:r>
          </w:p>
          <w:p w:rsidR="008C3ECF" w:rsidRPr="00C42AF6" w:rsidRDefault="008C3ECF" w:rsidP="007D1611">
            <w:pPr>
              <w:rPr>
                <w:rFonts w:ascii="Calibri" w:hAnsi="Calibri"/>
                <w:sz w:val="22"/>
                <w:szCs w:val="22"/>
              </w:rPr>
            </w:pPr>
          </w:p>
        </w:tc>
        <w:tc>
          <w:tcPr>
            <w:tcW w:w="3320" w:type="dxa"/>
          </w:tcPr>
          <w:p w:rsidR="008C3ECF" w:rsidRDefault="00801AED" w:rsidP="00703005">
            <w:pPr>
              <w:rPr>
                <w:rFonts w:ascii="Calibri" w:hAnsi="Calibri"/>
                <w:sz w:val="22"/>
                <w:szCs w:val="22"/>
              </w:rPr>
            </w:pPr>
            <w:r>
              <w:rPr>
                <w:rFonts w:ascii="Calibri" w:hAnsi="Calibri"/>
                <w:sz w:val="22"/>
                <w:szCs w:val="22"/>
              </w:rPr>
              <w:t xml:space="preserve">2.2.1 </w:t>
            </w:r>
            <w:r w:rsidR="00DC6604">
              <w:rPr>
                <w:rFonts w:ascii="Calibri" w:hAnsi="Calibri"/>
                <w:sz w:val="22"/>
                <w:szCs w:val="22"/>
              </w:rPr>
              <w:t>Develop dissemination data</w:t>
            </w:r>
            <w:r w:rsidR="00C43267" w:rsidRPr="00C43267">
              <w:rPr>
                <w:rFonts w:ascii="Calibri" w:hAnsi="Calibri"/>
                <w:sz w:val="22"/>
                <w:szCs w:val="22"/>
              </w:rPr>
              <w:t>base</w:t>
            </w:r>
          </w:p>
          <w:p w:rsidR="00C40791" w:rsidRDefault="00C40791" w:rsidP="00703005">
            <w:pPr>
              <w:rPr>
                <w:rFonts w:ascii="Calibri" w:hAnsi="Calibri"/>
                <w:sz w:val="22"/>
                <w:szCs w:val="22"/>
              </w:rPr>
            </w:pPr>
            <w:r>
              <w:rPr>
                <w:rFonts w:ascii="Calibri" w:hAnsi="Calibri"/>
                <w:sz w:val="22"/>
                <w:szCs w:val="22"/>
              </w:rPr>
              <w:t xml:space="preserve">2.2.2 Concept note to inform the design and use of the database </w:t>
            </w:r>
          </w:p>
          <w:p w:rsidR="00DC6604" w:rsidRDefault="00DC6604" w:rsidP="00703005">
            <w:pPr>
              <w:rPr>
                <w:rFonts w:ascii="Calibri" w:hAnsi="Calibri"/>
                <w:sz w:val="22"/>
                <w:szCs w:val="22"/>
              </w:rPr>
            </w:pPr>
            <w:r>
              <w:rPr>
                <w:rFonts w:ascii="Calibri" w:hAnsi="Calibri"/>
                <w:sz w:val="22"/>
                <w:szCs w:val="22"/>
              </w:rPr>
              <w:t xml:space="preserve">2.2.3 </w:t>
            </w:r>
            <w:r w:rsidR="008C0825">
              <w:rPr>
                <w:rFonts w:ascii="Calibri" w:hAnsi="Calibri"/>
                <w:sz w:val="22"/>
                <w:szCs w:val="22"/>
              </w:rPr>
              <w:t xml:space="preserve">Compile email distribution lists </w:t>
            </w:r>
          </w:p>
          <w:p w:rsidR="00F37C65" w:rsidRPr="00C42AF6" w:rsidRDefault="00F37C65" w:rsidP="00703005">
            <w:pPr>
              <w:rPr>
                <w:rFonts w:ascii="Calibri" w:hAnsi="Calibri"/>
                <w:sz w:val="22"/>
                <w:szCs w:val="22"/>
              </w:rPr>
            </w:pPr>
            <w:r>
              <w:rPr>
                <w:rFonts w:ascii="Calibri" w:hAnsi="Calibri"/>
                <w:sz w:val="22"/>
                <w:szCs w:val="22"/>
              </w:rPr>
              <w:t xml:space="preserve">2.2.4 Communications material to introduce the project </w:t>
            </w:r>
          </w:p>
        </w:tc>
        <w:tc>
          <w:tcPr>
            <w:tcW w:w="2375" w:type="dxa"/>
          </w:tcPr>
          <w:p w:rsidR="008C3ECF" w:rsidRPr="00C42AF6" w:rsidRDefault="0080022D" w:rsidP="00703005">
            <w:pPr>
              <w:rPr>
                <w:rFonts w:ascii="Calibri" w:hAnsi="Calibri"/>
                <w:sz w:val="22"/>
                <w:szCs w:val="22"/>
              </w:rPr>
            </w:pPr>
            <w:r w:rsidRPr="0080022D">
              <w:rPr>
                <w:rFonts w:ascii="Calibri" w:hAnsi="Calibri"/>
                <w:sz w:val="22"/>
                <w:szCs w:val="22"/>
              </w:rPr>
              <w:t>Cities Alliance/UCLGA</w:t>
            </w:r>
          </w:p>
        </w:tc>
      </w:tr>
      <w:tr w:rsidR="008C3ECF" w:rsidRPr="00C42AF6" w:rsidTr="00C12789">
        <w:trPr>
          <w:trHeight w:val="350"/>
        </w:trPr>
        <w:tc>
          <w:tcPr>
            <w:tcW w:w="3881" w:type="dxa"/>
          </w:tcPr>
          <w:p w:rsidR="008C3ECF" w:rsidRPr="00C42AF6" w:rsidRDefault="0002386D" w:rsidP="00CE3357">
            <w:pPr>
              <w:rPr>
                <w:rFonts w:ascii="Calibri" w:hAnsi="Calibri"/>
                <w:sz w:val="22"/>
                <w:szCs w:val="22"/>
              </w:rPr>
            </w:pPr>
            <w:r>
              <w:rPr>
                <w:rFonts w:ascii="Calibri" w:hAnsi="Calibri"/>
                <w:sz w:val="22"/>
                <w:szCs w:val="22"/>
              </w:rPr>
              <w:t xml:space="preserve">Component 3: </w:t>
            </w:r>
            <w:r w:rsidR="000D1184" w:rsidRPr="000D1184">
              <w:rPr>
                <w:rFonts w:ascii="Calibri" w:hAnsi="Calibri"/>
                <w:sz w:val="22"/>
                <w:szCs w:val="22"/>
              </w:rPr>
              <w:t xml:space="preserve">CA/UCLGA </w:t>
            </w:r>
            <w:r w:rsidR="00CE3357">
              <w:rPr>
                <w:rFonts w:ascii="Calibri" w:hAnsi="Calibri"/>
                <w:sz w:val="22"/>
                <w:szCs w:val="22"/>
              </w:rPr>
              <w:t>high-level conference</w:t>
            </w:r>
            <w:r w:rsidR="000D1184" w:rsidRPr="000D1184">
              <w:rPr>
                <w:rFonts w:ascii="Calibri" w:hAnsi="Calibri"/>
                <w:sz w:val="22"/>
                <w:szCs w:val="22"/>
              </w:rPr>
              <w:t xml:space="preserve"> on Financing African Cities</w:t>
            </w:r>
            <w:r w:rsidR="00CE3357">
              <w:rPr>
                <w:rFonts w:ascii="Calibri" w:hAnsi="Calibri"/>
                <w:sz w:val="22"/>
                <w:szCs w:val="22"/>
              </w:rPr>
              <w:t xml:space="preserve"> and urban investments</w:t>
            </w:r>
          </w:p>
        </w:tc>
        <w:tc>
          <w:tcPr>
            <w:tcW w:w="3320" w:type="dxa"/>
          </w:tcPr>
          <w:p w:rsidR="008C3ECF" w:rsidRDefault="000D1184" w:rsidP="00703005">
            <w:pPr>
              <w:rPr>
                <w:rFonts w:ascii="Calibri" w:hAnsi="Calibri"/>
                <w:sz w:val="22"/>
                <w:szCs w:val="22"/>
              </w:rPr>
            </w:pPr>
            <w:r>
              <w:rPr>
                <w:rFonts w:ascii="Calibri" w:hAnsi="Calibri"/>
                <w:sz w:val="22"/>
                <w:szCs w:val="22"/>
              </w:rPr>
              <w:t>3.1 High level Finance Ministers event in 2012</w:t>
            </w:r>
          </w:p>
          <w:p w:rsidR="000D1184" w:rsidRPr="00C42AF6" w:rsidRDefault="000D1184" w:rsidP="00703005">
            <w:pPr>
              <w:rPr>
                <w:rFonts w:ascii="Calibri" w:hAnsi="Calibri"/>
                <w:sz w:val="22"/>
                <w:szCs w:val="22"/>
              </w:rPr>
            </w:pPr>
            <w:r>
              <w:rPr>
                <w:rFonts w:ascii="Calibri" w:hAnsi="Calibri"/>
                <w:sz w:val="22"/>
                <w:szCs w:val="22"/>
              </w:rPr>
              <w:t xml:space="preserve">3.2 Develop a 2 year plan for promoting Financing African Cities book and municipal finance advocacy more broadly </w:t>
            </w:r>
          </w:p>
        </w:tc>
        <w:tc>
          <w:tcPr>
            <w:tcW w:w="2375" w:type="dxa"/>
          </w:tcPr>
          <w:p w:rsidR="008C3ECF" w:rsidRPr="00C42AF6" w:rsidRDefault="0080022D" w:rsidP="00703005">
            <w:pPr>
              <w:rPr>
                <w:rFonts w:ascii="Calibri" w:hAnsi="Calibri"/>
                <w:sz w:val="22"/>
                <w:szCs w:val="22"/>
              </w:rPr>
            </w:pPr>
            <w:r w:rsidRPr="0080022D">
              <w:rPr>
                <w:rFonts w:ascii="Calibri" w:hAnsi="Calibri"/>
                <w:sz w:val="22"/>
                <w:szCs w:val="22"/>
              </w:rPr>
              <w:t>Cities Alliance/UCLGA</w:t>
            </w:r>
            <w:r>
              <w:rPr>
                <w:rFonts w:ascii="Calibri" w:hAnsi="Calibri"/>
                <w:sz w:val="22"/>
                <w:szCs w:val="22"/>
              </w:rPr>
              <w:t>/AFD</w:t>
            </w:r>
          </w:p>
        </w:tc>
      </w:tr>
      <w:tr w:rsidR="0002386D" w:rsidRPr="00C42AF6" w:rsidTr="00C12789">
        <w:trPr>
          <w:trHeight w:val="350"/>
        </w:trPr>
        <w:tc>
          <w:tcPr>
            <w:tcW w:w="3881" w:type="dxa"/>
          </w:tcPr>
          <w:p w:rsidR="0002386D" w:rsidRPr="00C42AF6" w:rsidRDefault="00F37C65" w:rsidP="007D1611">
            <w:pPr>
              <w:rPr>
                <w:rFonts w:ascii="Calibri" w:hAnsi="Calibri"/>
                <w:sz w:val="22"/>
                <w:szCs w:val="22"/>
              </w:rPr>
            </w:pPr>
            <w:r>
              <w:rPr>
                <w:rFonts w:ascii="Calibri" w:hAnsi="Calibri"/>
                <w:sz w:val="22"/>
                <w:szCs w:val="22"/>
              </w:rPr>
              <w:t>Component</w:t>
            </w:r>
            <w:r w:rsidR="003D75A9">
              <w:rPr>
                <w:rFonts w:ascii="Calibri" w:hAnsi="Calibri"/>
                <w:sz w:val="22"/>
                <w:szCs w:val="22"/>
              </w:rPr>
              <w:t xml:space="preserve"> 4</w:t>
            </w:r>
            <w:r>
              <w:rPr>
                <w:rFonts w:ascii="Calibri" w:hAnsi="Calibri"/>
                <w:sz w:val="22"/>
                <w:szCs w:val="22"/>
              </w:rPr>
              <w:t xml:space="preserve">: </w:t>
            </w:r>
            <w:proofErr w:type="spellStart"/>
            <w:r>
              <w:rPr>
                <w:rFonts w:ascii="Calibri" w:hAnsi="Calibri"/>
                <w:sz w:val="22"/>
                <w:szCs w:val="22"/>
              </w:rPr>
              <w:t>Africities</w:t>
            </w:r>
            <w:proofErr w:type="spellEnd"/>
            <w:r>
              <w:rPr>
                <w:rFonts w:ascii="Calibri" w:hAnsi="Calibri"/>
                <w:sz w:val="22"/>
                <w:szCs w:val="22"/>
              </w:rPr>
              <w:t xml:space="preserve"> </w:t>
            </w:r>
          </w:p>
        </w:tc>
        <w:tc>
          <w:tcPr>
            <w:tcW w:w="3320" w:type="dxa"/>
          </w:tcPr>
          <w:p w:rsidR="0002386D" w:rsidRDefault="003D75A9" w:rsidP="00703005">
            <w:pPr>
              <w:rPr>
                <w:rFonts w:ascii="Calibri" w:hAnsi="Calibri"/>
                <w:sz w:val="22"/>
                <w:szCs w:val="22"/>
              </w:rPr>
            </w:pPr>
            <w:r>
              <w:rPr>
                <w:rFonts w:ascii="Calibri" w:hAnsi="Calibri"/>
                <w:sz w:val="22"/>
                <w:szCs w:val="22"/>
              </w:rPr>
              <w:t xml:space="preserve">4.1 Communications material </w:t>
            </w:r>
          </w:p>
          <w:p w:rsidR="00CE3357" w:rsidRDefault="00CE3357" w:rsidP="00703005">
            <w:pPr>
              <w:rPr>
                <w:rFonts w:ascii="Calibri" w:hAnsi="Calibri"/>
                <w:sz w:val="22"/>
                <w:szCs w:val="22"/>
              </w:rPr>
            </w:pPr>
            <w:r>
              <w:rPr>
                <w:rFonts w:ascii="Calibri" w:hAnsi="Calibri"/>
                <w:sz w:val="22"/>
                <w:szCs w:val="22"/>
              </w:rPr>
              <w:t>4.2 Special sessions designed and implemented</w:t>
            </w:r>
          </w:p>
          <w:p w:rsidR="00CE3357" w:rsidRPr="00C42AF6" w:rsidRDefault="00CE3357" w:rsidP="00703005">
            <w:pPr>
              <w:rPr>
                <w:rFonts w:ascii="Calibri" w:hAnsi="Calibri"/>
                <w:sz w:val="22"/>
                <w:szCs w:val="22"/>
              </w:rPr>
            </w:pPr>
            <w:r>
              <w:rPr>
                <w:rFonts w:ascii="Calibri" w:hAnsi="Calibri"/>
                <w:sz w:val="22"/>
                <w:szCs w:val="22"/>
              </w:rPr>
              <w:t>4.3 Exhibit booth designed and implemented</w:t>
            </w:r>
          </w:p>
        </w:tc>
        <w:tc>
          <w:tcPr>
            <w:tcW w:w="2375" w:type="dxa"/>
          </w:tcPr>
          <w:p w:rsidR="0002386D" w:rsidRPr="00C42AF6" w:rsidRDefault="003D75A9" w:rsidP="00703005">
            <w:pPr>
              <w:rPr>
                <w:rFonts w:ascii="Calibri" w:hAnsi="Calibri"/>
                <w:sz w:val="22"/>
                <w:szCs w:val="22"/>
              </w:rPr>
            </w:pPr>
            <w:r>
              <w:rPr>
                <w:rFonts w:ascii="Calibri" w:hAnsi="Calibri"/>
                <w:sz w:val="22"/>
                <w:szCs w:val="22"/>
              </w:rPr>
              <w:t xml:space="preserve">Cities Alliance </w:t>
            </w:r>
          </w:p>
        </w:tc>
      </w:tr>
    </w:tbl>
    <w:p w:rsidR="00123AE0" w:rsidRPr="00C42AF6" w:rsidRDefault="00123AE0">
      <w:pPr>
        <w:rPr>
          <w:rFonts w:ascii="Calibri" w:hAnsi="Calibri"/>
          <w:sz w:val="22"/>
          <w:szCs w:val="22"/>
        </w:rPr>
      </w:pPr>
    </w:p>
    <w:p w:rsidR="004A6AE4" w:rsidRPr="00C42AF6" w:rsidRDefault="00D51933">
      <w:pPr>
        <w:rPr>
          <w:rFonts w:ascii="Calibri" w:hAnsi="Calibri" w:cs="Arial"/>
          <w:b/>
          <w:sz w:val="22"/>
          <w:szCs w:val="22"/>
          <w:u w:val="single"/>
        </w:rPr>
      </w:pPr>
      <w:r>
        <w:rPr>
          <w:rFonts w:ascii="Calibri" w:hAnsi="Calibri" w:cs="Arial"/>
          <w:b/>
          <w:sz w:val="22"/>
          <w:szCs w:val="22"/>
          <w:u w:val="single"/>
        </w:rPr>
        <w:t>1</w:t>
      </w:r>
      <w:r w:rsidR="00CA7074">
        <w:rPr>
          <w:rFonts w:ascii="Calibri" w:hAnsi="Calibri" w:cs="Arial"/>
          <w:b/>
          <w:sz w:val="22"/>
          <w:szCs w:val="22"/>
          <w:u w:val="single"/>
        </w:rPr>
        <w:t>3</w:t>
      </w:r>
      <w:r w:rsidR="00C42AF6" w:rsidRPr="00C42AF6">
        <w:rPr>
          <w:rFonts w:ascii="Calibri" w:hAnsi="Calibri" w:cs="Arial"/>
          <w:b/>
          <w:sz w:val="22"/>
          <w:szCs w:val="22"/>
          <w:u w:val="single"/>
        </w:rPr>
        <w:t>.</w:t>
      </w:r>
      <w:r w:rsidR="00C12789" w:rsidRPr="00C42AF6">
        <w:rPr>
          <w:rFonts w:ascii="Calibri" w:hAnsi="Calibri" w:cs="Arial"/>
          <w:b/>
          <w:sz w:val="22"/>
          <w:szCs w:val="22"/>
          <w:u w:val="single"/>
        </w:rPr>
        <w:t xml:space="preserve">) </w:t>
      </w:r>
      <w:r w:rsidR="004A6AE4" w:rsidRPr="00C42AF6">
        <w:rPr>
          <w:rFonts w:ascii="Calibri" w:hAnsi="Calibri" w:cs="Arial"/>
          <w:b/>
          <w:sz w:val="22"/>
          <w:szCs w:val="22"/>
          <w:u w:val="single"/>
        </w:rPr>
        <w:t>Timeframe and Activity Plan Summary</w:t>
      </w:r>
    </w:p>
    <w:p w:rsidR="00C12789" w:rsidRPr="00C42AF6" w:rsidRDefault="00C12789">
      <w:pPr>
        <w:rPr>
          <w:rFonts w:ascii="Calibri" w:hAnsi="Calibri" w:cs="Arial"/>
          <w:b/>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8"/>
        <w:gridCol w:w="922"/>
        <w:gridCol w:w="923"/>
        <w:gridCol w:w="922"/>
        <w:gridCol w:w="923"/>
        <w:gridCol w:w="1530"/>
      </w:tblGrid>
      <w:tr w:rsidR="00CF76BE" w:rsidRPr="00C42AF6" w:rsidTr="00CF76BE">
        <w:tc>
          <w:tcPr>
            <w:tcW w:w="4338" w:type="dxa"/>
            <w:vMerge w:val="restart"/>
          </w:tcPr>
          <w:p w:rsidR="00CF76BE" w:rsidRPr="00C42AF6" w:rsidRDefault="00CF76BE" w:rsidP="00123AE0">
            <w:pPr>
              <w:rPr>
                <w:rFonts w:ascii="Calibri" w:hAnsi="Calibri" w:cs="Arial"/>
                <w:b/>
                <w:sz w:val="22"/>
                <w:szCs w:val="22"/>
              </w:rPr>
            </w:pPr>
            <w:r w:rsidRPr="00C42AF6">
              <w:rPr>
                <w:rFonts w:ascii="Calibri" w:hAnsi="Calibri" w:cs="Arial"/>
                <w:b/>
                <w:sz w:val="22"/>
                <w:szCs w:val="22"/>
              </w:rPr>
              <w:t>Activities</w:t>
            </w:r>
          </w:p>
        </w:tc>
        <w:tc>
          <w:tcPr>
            <w:tcW w:w="3690" w:type="dxa"/>
            <w:gridSpan w:val="4"/>
          </w:tcPr>
          <w:p w:rsidR="00CF76BE" w:rsidRPr="00C42AF6" w:rsidRDefault="00CF76BE" w:rsidP="004A6AE4">
            <w:pPr>
              <w:jc w:val="center"/>
              <w:rPr>
                <w:rFonts w:ascii="Calibri" w:hAnsi="Calibri" w:cs="Arial"/>
                <w:b/>
                <w:sz w:val="22"/>
                <w:szCs w:val="22"/>
              </w:rPr>
            </w:pPr>
            <w:r w:rsidRPr="00C42AF6">
              <w:rPr>
                <w:rFonts w:ascii="Calibri" w:hAnsi="Calibri" w:cs="Arial"/>
                <w:b/>
                <w:sz w:val="22"/>
                <w:szCs w:val="22"/>
              </w:rPr>
              <w:t>2012</w:t>
            </w:r>
          </w:p>
        </w:tc>
        <w:tc>
          <w:tcPr>
            <w:tcW w:w="1530" w:type="dxa"/>
          </w:tcPr>
          <w:p w:rsidR="00CF76BE" w:rsidRPr="00C42AF6" w:rsidRDefault="00CF76BE" w:rsidP="004A6AE4">
            <w:pPr>
              <w:jc w:val="center"/>
              <w:rPr>
                <w:rFonts w:ascii="Calibri" w:hAnsi="Calibri" w:cs="Arial"/>
                <w:b/>
                <w:sz w:val="22"/>
                <w:szCs w:val="22"/>
              </w:rPr>
            </w:pPr>
            <w:r w:rsidRPr="00C42AF6">
              <w:rPr>
                <w:rFonts w:ascii="Calibri" w:hAnsi="Calibri" w:cs="Arial"/>
                <w:b/>
                <w:sz w:val="22"/>
                <w:szCs w:val="22"/>
              </w:rPr>
              <w:t>2013</w:t>
            </w:r>
          </w:p>
        </w:tc>
      </w:tr>
      <w:tr w:rsidR="00CF76BE" w:rsidRPr="00C42AF6" w:rsidTr="00CF76BE">
        <w:trPr>
          <w:trHeight w:val="242"/>
        </w:trPr>
        <w:tc>
          <w:tcPr>
            <w:tcW w:w="4338" w:type="dxa"/>
            <w:vMerge/>
          </w:tcPr>
          <w:p w:rsidR="00CF76BE" w:rsidRPr="00C42AF6" w:rsidRDefault="00CF76BE" w:rsidP="00123AE0">
            <w:pPr>
              <w:rPr>
                <w:rFonts w:ascii="Calibri" w:hAnsi="Calibri" w:cs="Arial"/>
                <w:sz w:val="22"/>
                <w:szCs w:val="22"/>
              </w:rPr>
            </w:pPr>
          </w:p>
        </w:tc>
        <w:tc>
          <w:tcPr>
            <w:tcW w:w="922" w:type="dxa"/>
          </w:tcPr>
          <w:p w:rsidR="00CF76BE" w:rsidRPr="00C42AF6" w:rsidRDefault="00CF76BE" w:rsidP="00123AE0">
            <w:pPr>
              <w:jc w:val="center"/>
              <w:rPr>
                <w:rFonts w:ascii="Calibri" w:hAnsi="Calibri" w:cs="Arial"/>
                <w:b/>
                <w:sz w:val="22"/>
                <w:szCs w:val="22"/>
              </w:rPr>
            </w:pPr>
            <w:r w:rsidRPr="00C42AF6">
              <w:rPr>
                <w:rFonts w:ascii="Calibri" w:hAnsi="Calibri" w:cs="Arial"/>
                <w:b/>
                <w:sz w:val="22"/>
                <w:szCs w:val="22"/>
              </w:rPr>
              <w:t>1 Q</w:t>
            </w:r>
          </w:p>
        </w:tc>
        <w:tc>
          <w:tcPr>
            <w:tcW w:w="923" w:type="dxa"/>
          </w:tcPr>
          <w:p w:rsidR="00CF76BE" w:rsidRPr="00C42AF6" w:rsidRDefault="00CF76BE" w:rsidP="00123AE0">
            <w:pPr>
              <w:jc w:val="center"/>
              <w:rPr>
                <w:rFonts w:ascii="Calibri" w:hAnsi="Calibri" w:cs="Arial"/>
                <w:b/>
                <w:sz w:val="22"/>
                <w:szCs w:val="22"/>
              </w:rPr>
            </w:pPr>
            <w:r w:rsidRPr="00C42AF6">
              <w:rPr>
                <w:rFonts w:ascii="Calibri" w:hAnsi="Calibri" w:cs="Arial"/>
                <w:b/>
                <w:sz w:val="22"/>
                <w:szCs w:val="22"/>
              </w:rPr>
              <w:t>2 Q</w:t>
            </w:r>
          </w:p>
        </w:tc>
        <w:tc>
          <w:tcPr>
            <w:tcW w:w="922" w:type="dxa"/>
          </w:tcPr>
          <w:p w:rsidR="00CF76BE" w:rsidRPr="00C42AF6" w:rsidRDefault="00CF76BE" w:rsidP="00123AE0">
            <w:pPr>
              <w:jc w:val="center"/>
              <w:rPr>
                <w:rFonts w:ascii="Calibri" w:hAnsi="Calibri" w:cs="Arial"/>
                <w:b/>
                <w:sz w:val="22"/>
                <w:szCs w:val="22"/>
              </w:rPr>
            </w:pPr>
            <w:r w:rsidRPr="00C42AF6">
              <w:rPr>
                <w:rFonts w:ascii="Calibri" w:hAnsi="Calibri" w:cs="Arial"/>
                <w:b/>
                <w:sz w:val="22"/>
                <w:szCs w:val="22"/>
              </w:rPr>
              <w:t>3 Q</w:t>
            </w:r>
          </w:p>
        </w:tc>
        <w:tc>
          <w:tcPr>
            <w:tcW w:w="923" w:type="dxa"/>
          </w:tcPr>
          <w:p w:rsidR="00CF76BE" w:rsidRPr="00C42AF6" w:rsidRDefault="00CF76BE" w:rsidP="00123AE0">
            <w:pPr>
              <w:jc w:val="center"/>
              <w:rPr>
                <w:rFonts w:ascii="Calibri" w:hAnsi="Calibri" w:cs="Arial"/>
                <w:b/>
                <w:sz w:val="22"/>
                <w:szCs w:val="22"/>
              </w:rPr>
            </w:pPr>
            <w:r w:rsidRPr="00C42AF6">
              <w:rPr>
                <w:rFonts w:ascii="Calibri" w:hAnsi="Calibri" w:cs="Arial"/>
                <w:b/>
                <w:sz w:val="22"/>
                <w:szCs w:val="22"/>
              </w:rPr>
              <w:t>4Q</w:t>
            </w:r>
          </w:p>
        </w:tc>
        <w:tc>
          <w:tcPr>
            <w:tcW w:w="1530" w:type="dxa"/>
          </w:tcPr>
          <w:p w:rsidR="00CF76BE" w:rsidRPr="00C42AF6" w:rsidRDefault="00CF76BE" w:rsidP="00123AE0">
            <w:pPr>
              <w:jc w:val="center"/>
              <w:rPr>
                <w:rFonts w:ascii="Calibri" w:hAnsi="Calibri" w:cs="Arial"/>
                <w:b/>
                <w:sz w:val="22"/>
                <w:szCs w:val="22"/>
              </w:rPr>
            </w:pPr>
            <w:r w:rsidRPr="00C42AF6">
              <w:rPr>
                <w:rFonts w:ascii="Calibri" w:hAnsi="Calibri" w:cs="Arial"/>
                <w:b/>
                <w:sz w:val="22"/>
                <w:szCs w:val="22"/>
              </w:rPr>
              <w:t>1Q</w:t>
            </w:r>
          </w:p>
        </w:tc>
      </w:tr>
      <w:tr w:rsidR="006939F6" w:rsidRPr="00C42AF6" w:rsidTr="00CF76BE">
        <w:trPr>
          <w:trHeight w:val="242"/>
        </w:trPr>
        <w:tc>
          <w:tcPr>
            <w:tcW w:w="4338" w:type="dxa"/>
            <w:shd w:val="clear" w:color="auto" w:fill="auto"/>
          </w:tcPr>
          <w:p w:rsidR="006939F6" w:rsidRPr="00CF76BE" w:rsidRDefault="006939F6" w:rsidP="006939F6">
            <w:pPr>
              <w:rPr>
                <w:rFonts w:ascii="Calibri" w:hAnsi="Calibri" w:cs="Arial"/>
                <w:sz w:val="22"/>
                <w:szCs w:val="22"/>
              </w:rPr>
            </w:pPr>
            <w:r w:rsidRPr="006939F6">
              <w:rPr>
                <w:rFonts w:ascii="Calibri" w:hAnsi="Calibri" w:cs="Arial"/>
                <w:b/>
                <w:sz w:val="22"/>
                <w:szCs w:val="22"/>
              </w:rPr>
              <w:t>Component 1: Measuring Progress toward Well-functioning African Cities</w:t>
            </w:r>
          </w:p>
        </w:tc>
        <w:tc>
          <w:tcPr>
            <w:tcW w:w="922" w:type="dxa"/>
            <w:tcBorders>
              <w:bottom w:val="single" w:sz="4" w:space="0" w:color="auto"/>
            </w:tcBorders>
            <w:shd w:val="clear" w:color="auto" w:fill="auto"/>
          </w:tcPr>
          <w:p w:rsidR="006939F6" w:rsidRPr="00CF76BE" w:rsidRDefault="006939F6" w:rsidP="00123AE0">
            <w:pPr>
              <w:jc w:val="center"/>
              <w:rPr>
                <w:rFonts w:ascii="Calibri" w:hAnsi="Calibri" w:cs="Arial"/>
                <w:sz w:val="22"/>
                <w:szCs w:val="22"/>
              </w:rPr>
            </w:pPr>
          </w:p>
        </w:tc>
        <w:tc>
          <w:tcPr>
            <w:tcW w:w="923" w:type="dxa"/>
            <w:tcBorders>
              <w:bottom w:val="single" w:sz="4" w:space="0" w:color="auto"/>
            </w:tcBorders>
            <w:shd w:val="clear" w:color="auto" w:fill="auto"/>
          </w:tcPr>
          <w:p w:rsidR="006939F6" w:rsidRPr="00CF76BE" w:rsidRDefault="006939F6" w:rsidP="00123AE0">
            <w:pPr>
              <w:jc w:val="center"/>
              <w:rPr>
                <w:rFonts w:ascii="Calibri" w:hAnsi="Calibri" w:cs="Arial"/>
                <w:sz w:val="22"/>
                <w:szCs w:val="22"/>
              </w:rPr>
            </w:pPr>
          </w:p>
        </w:tc>
        <w:tc>
          <w:tcPr>
            <w:tcW w:w="922" w:type="dxa"/>
            <w:shd w:val="clear" w:color="auto" w:fill="auto"/>
          </w:tcPr>
          <w:p w:rsidR="006939F6" w:rsidRPr="00CF76BE" w:rsidRDefault="006939F6" w:rsidP="00123AE0">
            <w:pPr>
              <w:jc w:val="center"/>
              <w:rPr>
                <w:rFonts w:ascii="Calibri" w:hAnsi="Calibri" w:cs="Arial"/>
                <w:sz w:val="22"/>
                <w:szCs w:val="22"/>
              </w:rPr>
            </w:pPr>
          </w:p>
        </w:tc>
        <w:tc>
          <w:tcPr>
            <w:tcW w:w="923" w:type="dxa"/>
            <w:shd w:val="clear" w:color="auto" w:fill="auto"/>
          </w:tcPr>
          <w:p w:rsidR="006939F6" w:rsidRPr="00CF76BE" w:rsidRDefault="006939F6" w:rsidP="00123AE0">
            <w:pPr>
              <w:jc w:val="center"/>
              <w:rPr>
                <w:rFonts w:ascii="Calibri" w:hAnsi="Calibri" w:cs="Arial"/>
                <w:sz w:val="22"/>
                <w:szCs w:val="22"/>
              </w:rPr>
            </w:pPr>
          </w:p>
        </w:tc>
        <w:tc>
          <w:tcPr>
            <w:tcW w:w="1530" w:type="dxa"/>
            <w:shd w:val="clear" w:color="auto" w:fill="auto"/>
          </w:tcPr>
          <w:p w:rsidR="006939F6" w:rsidRPr="00CF76BE" w:rsidRDefault="006939F6" w:rsidP="00123AE0">
            <w:pPr>
              <w:jc w:val="center"/>
              <w:rPr>
                <w:rFonts w:ascii="Calibri" w:hAnsi="Calibri" w:cs="Arial"/>
                <w:sz w:val="22"/>
                <w:szCs w:val="22"/>
              </w:rPr>
            </w:pPr>
          </w:p>
        </w:tc>
      </w:tr>
      <w:tr w:rsidR="00CF76BE" w:rsidRPr="00C42AF6" w:rsidTr="00CF76BE">
        <w:trPr>
          <w:trHeight w:val="242"/>
        </w:trPr>
        <w:tc>
          <w:tcPr>
            <w:tcW w:w="4338" w:type="dxa"/>
            <w:shd w:val="clear" w:color="auto" w:fill="auto"/>
          </w:tcPr>
          <w:p w:rsidR="00CF76BE" w:rsidRPr="00C42AF6" w:rsidRDefault="00CF76BE" w:rsidP="00123AE0">
            <w:pPr>
              <w:rPr>
                <w:rFonts w:ascii="Calibri" w:hAnsi="Calibri" w:cs="Arial"/>
                <w:sz w:val="22"/>
                <w:szCs w:val="22"/>
              </w:rPr>
            </w:pPr>
            <w:r w:rsidRPr="00CF76BE">
              <w:rPr>
                <w:rFonts w:ascii="Calibri" w:hAnsi="Calibri" w:cs="Arial"/>
                <w:sz w:val="22"/>
                <w:szCs w:val="22"/>
              </w:rPr>
              <w:t>City Enabling Environment (CEE) Rating System</w:t>
            </w:r>
            <w:r>
              <w:rPr>
                <w:rFonts w:ascii="Calibri" w:hAnsi="Calibri" w:cs="Arial"/>
                <w:sz w:val="22"/>
                <w:szCs w:val="22"/>
              </w:rPr>
              <w:t xml:space="preserve"> – CA &amp; UCLGA members vet the indicators </w:t>
            </w:r>
          </w:p>
        </w:tc>
        <w:tc>
          <w:tcPr>
            <w:tcW w:w="922" w:type="dxa"/>
            <w:tcBorders>
              <w:bottom w:val="single" w:sz="4" w:space="0" w:color="auto"/>
            </w:tcBorders>
            <w:shd w:val="clear" w:color="auto" w:fill="auto"/>
          </w:tcPr>
          <w:p w:rsidR="00CF76BE" w:rsidRPr="00CF76BE" w:rsidRDefault="00CF76BE" w:rsidP="00123AE0">
            <w:pPr>
              <w:jc w:val="center"/>
              <w:rPr>
                <w:rFonts w:ascii="Calibri" w:hAnsi="Calibri" w:cs="Arial"/>
                <w:sz w:val="22"/>
                <w:szCs w:val="22"/>
              </w:rPr>
            </w:pPr>
            <w:r w:rsidRPr="00CF76BE">
              <w:rPr>
                <w:rFonts w:ascii="Calibri" w:hAnsi="Calibri" w:cs="Arial"/>
                <w:sz w:val="22"/>
                <w:szCs w:val="22"/>
              </w:rPr>
              <w:t>x</w:t>
            </w:r>
          </w:p>
        </w:tc>
        <w:tc>
          <w:tcPr>
            <w:tcW w:w="923" w:type="dxa"/>
            <w:tcBorders>
              <w:bottom w:val="single" w:sz="4" w:space="0" w:color="auto"/>
            </w:tcBorders>
            <w:shd w:val="clear" w:color="auto" w:fill="auto"/>
          </w:tcPr>
          <w:p w:rsidR="00CF76BE" w:rsidRPr="00CF76BE" w:rsidRDefault="00CF76BE" w:rsidP="00123AE0">
            <w:pPr>
              <w:jc w:val="center"/>
              <w:rPr>
                <w:rFonts w:ascii="Calibri" w:hAnsi="Calibri" w:cs="Arial"/>
                <w:sz w:val="22"/>
                <w:szCs w:val="22"/>
              </w:rPr>
            </w:pPr>
          </w:p>
        </w:tc>
        <w:tc>
          <w:tcPr>
            <w:tcW w:w="922" w:type="dxa"/>
            <w:shd w:val="clear" w:color="auto" w:fill="auto"/>
          </w:tcPr>
          <w:p w:rsidR="00CF76BE" w:rsidRPr="00CF76BE" w:rsidRDefault="00CF76BE" w:rsidP="00123AE0">
            <w:pPr>
              <w:jc w:val="center"/>
              <w:rPr>
                <w:rFonts w:ascii="Calibri" w:hAnsi="Calibri" w:cs="Arial"/>
                <w:sz w:val="22"/>
                <w:szCs w:val="22"/>
              </w:rPr>
            </w:pPr>
          </w:p>
        </w:tc>
        <w:tc>
          <w:tcPr>
            <w:tcW w:w="923" w:type="dxa"/>
            <w:shd w:val="clear" w:color="auto" w:fill="auto"/>
          </w:tcPr>
          <w:p w:rsidR="00CF76BE" w:rsidRPr="00CF76BE" w:rsidRDefault="00CF76BE" w:rsidP="00123AE0">
            <w:pPr>
              <w:jc w:val="center"/>
              <w:rPr>
                <w:rFonts w:ascii="Calibri" w:hAnsi="Calibri" w:cs="Arial"/>
                <w:sz w:val="22"/>
                <w:szCs w:val="22"/>
              </w:rPr>
            </w:pPr>
          </w:p>
        </w:tc>
        <w:tc>
          <w:tcPr>
            <w:tcW w:w="1530" w:type="dxa"/>
            <w:shd w:val="clear" w:color="auto" w:fill="auto"/>
          </w:tcPr>
          <w:p w:rsidR="00CF76BE" w:rsidRPr="00CF76BE" w:rsidRDefault="00CF76BE" w:rsidP="00123AE0">
            <w:pPr>
              <w:jc w:val="center"/>
              <w:rPr>
                <w:rFonts w:ascii="Calibri" w:hAnsi="Calibri" w:cs="Arial"/>
                <w:sz w:val="22"/>
                <w:szCs w:val="22"/>
              </w:rPr>
            </w:pPr>
          </w:p>
        </w:tc>
      </w:tr>
      <w:tr w:rsidR="00CF76BE" w:rsidRPr="00C42AF6" w:rsidTr="00CF76BE">
        <w:trPr>
          <w:trHeight w:val="242"/>
        </w:trPr>
        <w:tc>
          <w:tcPr>
            <w:tcW w:w="4338" w:type="dxa"/>
          </w:tcPr>
          <w:p w:rsidR="00CF76BE" w:rsidRPr="00C42AF6" w:rsidRDefault="006939F6" w:rsidP="00123AE0">
            <w:pPr>
              <w:rPr>
                <w:rFonts w:ascii="Calibri" w:hAnsi="Calibri" w:cs="Arial"/>
                <w:sz w:val="22"/>
                <w:szCs w:val="22"/>
              </w:rPr>
            </w:pPr>
            <w:r>
              <w:rPr>
                <w:rFonts w:ascii="Calibri" w:hAnsi="Calibri" w:cs="Arial"/>
                <w:sz w:val="22"/>
                <w:szCs w:val="22"/>
              </w:rPr>
              <w:t xml:space="preserve">Secure TA </w:t>
            </w:r>
          </w:p>
        </w:tc>
        <w:tc>
          <w:tcPr>
            <w:tcW w:w="922" w:type="dxa"/>
            <w:tcBorders>
              <w:bottom w:val="single" w:sz="4" w:space="0" w:color="auto"/>
            </w:tcBorders>
            <w:shd w:val="clear" w:color="auto" w:fill="auto"/>
          </w:tcPr>
          <w:p w:rsidR="00CF76BE" w:rsidRPr="006939F6" w:rsidRDefault="006939F6" w:rsidP="00123AE0">
            <w:pPr>
              <w:jc w:val="center"/>
              <w:rPr>
                <w:rFonts w:ascii="Calibri" w:hAnsi="Calibri" w:cs="Arial"/>
                <w:sz w:val="22"/>
                <w:szCs w:val="22"/>
              </w:rPr>
            </w:pPr>
            <w:r w:rsidRPr="006939F6">
              <w:rPr>
                <w:rFonts w:ascii="Calibri" w:hAnsi="Calibri" w:cs="Arial"/>
                <w:sz w:val="22"/>
                <w:szCs w:val="22"/>
              </w:rPr>
              <w:t>x</w:t>
            </w:r>
          </w:p>
        </w:tc>
        <w:tc>
          <w:tcPr>
            <w:tcW w:w="923"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2"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3"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1530" w:type="dxa"/>
            <w:shd w:val="clear" w:color="auto" w:fill="auto"/>
          </w:tcPr>
          <w:p w:rsidR="00CF76BE" w:rsidRPr="00C42AF6" w:rsidRDefault="00CF76BE" w:rsidP="00123AE0">
            <w:pPr>
              <w:jc w:val="center"/>
              <w:rPr>
                <w:rFonts w:ascii="Calibri" w:hAnsi="Calibri" w:cs="Arial"/>
                <w:b/>
                <w:sz w:val="22"/>
                <w:szCs w:val="22"/>
              </w:rPr>
            </w:pPr>
          </w:p>
        </w:tc>
      </w:tr>
      <w:tr w:rsidR="006939F6" w:rsidRPr="00C42AF6" w:rsidTr="00CF76BE">
        <w:trPr>
          <w:trHeight w:val="242"/>
        </w:trPr>
        <w:tc>
          <w:tcPr>
            <w:tcW w:w="4338" w:type="dxa"/>
          </w:tcPr>
          <w:p w:rsidR="006939F6" w:rsidRDefault="006939F6" w:rsidP="00123AE0">
            <w:pPr>
              <w:rPr>
                <w:rFonts w:ascii="Calibri" w:hAnsi="Calibri" w:cs="Arial"/>
                <w:sz w:val="22"/>
                <w:szCs w:val="22"/>
              </w:rPr>
            </w:pPr>
            <w:r>
              <w:rPr>
                <w:rFonts w:ascii="Calibri" w:hAnsi="Calibri" w:cs="Arial"/>
                <w:sz w:val="22"/>
                <w:szCs w:val="22"/>
              </w:rPr>
              <w:t xml:space="preserve">Develop advocacy campaign (to introduce project and launch at </w:t>
            </w:r>
            <w:proofErr w:type="spellStart"/>
            <w:r>
              <w:rPr>
                <w:rFonts w:ascii="Calibri" w:hAnsi="Calibri" w:cs="Arial"/>
                <w:sz w:val="22"/>
                <w:szCs w:val="22"/>
              </w:rPr>
              <w:t>Africities</w:t>
            </w:r>
            <w:proofErr w:type="spellEnd"/>
            <w:r>
              <w:rPr>
                <w:rFonts w:ascii="Calibri" w:hAnsi="Calibri" w:cs="Arial"/>
                <w:sz w:val="22"/>
                <w:szCs w:val="22"/>
              </w:rPr>
              <w:t>)</w:t>
            </w:r>
          </w:p>
        </w:tc>
        <w:tc>
          <w:tcPr>
            <w:tcW w:w="922" w:type="dxa"/>
            <w:shd w:val="clear" w:color="auto" w:fill="auto"/>
          </w:tcPr>
          <w:p w:rsidR="006939F6" w:rsidRPr="006939F6" w:rsidRDefault="006939F6" w:rsidP="00123AE0">
            <w:pPr>
              <w:jc w:val="center"/>
              <w:rPr>
                <w:rFonts w:ascii="Calibri" w:hAnsi="Calibri" w:cs="Arial"/>
                <w:sz w:val="22"/>
                <w:szCs w:val="22"/>
              </w:rPr>
            </w:pPr>
            <w:r w:rsidRPr="006939F6">
              <w:rPr>
                <w:rFonts w:ascii="Calibri" w:hAnsi="Calibri" w:cs="Arial"/>
                <w:sz w:val="22"/>
                <w:szCs w:val="22"/>
              </w:rPr>
              <w:t>x</w:t>
            </w:r>
          </w:p>
        </w:tc>
        <w:tc>
          <w:tcPr>
            <w:tcW w:w="923" w:type="dxa"/>
            <w:shd w:val="clear" w:color="auto" w:fill="auto"/>
          </w:tcPr>
          <w:p w:rsidR="006939F6" w:rsidRPr="006939F6" w:rsidRDefault="006939F6" w:rsidP="00123AE0">
            <w:pPr>
              <w:jc w:val="center"/>
              <w:rPr>
                <w:rFonts w:ascii="Calibri" w:hAnsi="Calibri" w:cs="Arial"/>
                <w:sz w:val="22"/>
                <w:szCs w:val="22"/>
              </w:rPr>
            </w:pPr>
          </w:p>
        </w:tc>
        <w:tc>
          <w:tcPr>
            <w:tcW w:w="922" w:type="dxa"/>
            <w:shd w:val="clear" w:color="auto" w:fill="auto"/>
          </w:tcPr>
          <w:p w:rsidR="006939F6" w:rsidRPr="006939F6" w:rsidRDefault="006939F6" w:rsidP="00123AE0">
            <w:pPr>
              <w:jc w:val="center"/>
              <w:rPr>
                <w:rFonts w:ascii="Calibri" w:hAnsi="Calibri" w:cs="Arial"/>
                <w:sz w:val="22"/>
                <w:szCs w:val="22"/>
              </w:rPr>
            </w:pPr>
            <w:r>
              <w:rPr>
                <w:rFonts w:ascii="Calibri" w:hAnsi="Calibri" w:cs="Arial"/>
                <w:sz w:val="22"/>
                <w:szCs w:val="22"/>
              </w:rPr>
              <w:t>x</w:t>
            </w:r>
          </w:p>
        </w:tc>
        <w:tc>
          <w:tcPr>
            <w:tcW w:w="923" w:type="dxa"/>
            <w:shd w:val="clear" w:color="auto" w:fill="auto"/>
          </w:tcPr>
          <w:p w:rsidR="006939F6" w:rsidRPr="00C42AF6" w:rsidRDefault="006939F6" w:rsidP="00123AE0">
            <w:pPr>
              <w:jc w:val="center"/>
              <w:rPr>
                <w:rFonts w:ascii="Calibri" w:hAnsi="Calibri" w:cs="Arial"/>
                <w:b/>
                <w:sz w:val="22"/>
                <w:szCs w:val="22"/>
              </w:rPr>
            </w:pPr>
          </w:p>
        </w:tc>
        <w:tc>
          <w:tcPr>
            <w:tcW w:w="1530" w:type="dxa"/>
            <w:shd w:val="clear" w:color="auto" w:fill="auto"/>
          </w:tcPr>
          <w:p w:rsidR="006939F6" w:rsidRPr="00C42AF6" w:rsidRDefault="006939F6" w:rsidP="00123AE0">
            <w:pPr>
              <w:jc w:val="center"/>
              <w:rPr>
                <w:rFonts w:ascii="Calibri" w:hAnsi="Calibri" w:cs="Arial"/>
                <w:b/>
                <w:sz w:val="22"/>
                <w:szCs w:val="22"/>
              </w:rPr>
            </w:pPr>
          </w:p>
        </w:tc>
      </w:tr>
      <w:tr w:rsidR="00CF76BE" w:rsidRPr="00C42AF6" w:rsidTr="00CF76BE">
        <w:trPr>
          <w:trHeight w:val="242"/>
        </w:trPr>
        <w:tc>
          <w:tcPr>
            <w:tcW w:w="4338" w:type="dxa"/>
          </w:tcPr>
          <w:p w:rsidR="00CF76BE" w:rsidRPr="00C42AF6" w:rsidRDefault="006939F6" w:rsidP="00123AE0">
            <w:pPr>
              <w:rPr>
                <w:rFonts w:ascii="Calibri" w:hAnsi="Calibri" w:cs="Arial"/>
                <w:sz w:val="22"/>
                <w:szCs w:val="22"/>
              </w:rPr>
            </w:pPr>
            <w:r>
              <w:rPr>
                <w:rFonts w:ascii="Calibri" w:hAnsi="Calibri" w:cs="Arial"/>
                <w:sz w:val="22"/>
                <w:szCs w:val="22"/>
              </w:rPr>
              <w:t>Carry out individual country assessments</w:t>
            </w:r>
          </w:p>
        </w:tc>
        <w:tc>
          <w:tcPr>
            <w:tcW w:w="922" w:type="dxa"/>
            <w:shd w:val="clear" w:color="auto" w:fill="auto"/>
          </w:tcPr>
          <w:p w:rsidR="00CF76BE" w:rsidRPr="00C42AF6" w:rsidRDefault="00CF76BE" w:rsidP="00123AE0">
            <w:pPr>
              <w:jc w:val="center"/>
              <w:rPr>
                <w:rFonts w:ascii="Calibri" w:hAnsi="Calibri" w:cs="Arial"/>
                <w:b/>
                <w:sz w:val="22"/>
                <w:szCs w:val="22"/>
              </w:rPr>
            </w:pPr>
          </w:p>
        </w:tc>
        <w:tc>
          <w:tcPr>
            <w:tcW w:w="923" w:type="dxa"/>
            <w:shd w:val="clear" w:color="auto" w:fill="auto"/>
          </w:tcPr>
          <w:p w:rsidR="00CF76BE" w:rsidRPr="006939F6" w:rsidRDefault="006939F6" w:rsidP="00123AE0">
            <w:pPr>
              <w:jc w:val="center"/>
              <w:rPr>
                <w:rFonts w:ascii="Calibri" w:hAnsi="Calibri" w:cs="Arial"/>
                <w:sz w:val="22"/>
                <w:szCs w:val="22"/>
              </w:rPr>
            </w:pPr>
            <w:r w:rsidRPr="006939F6">
              <w:rPr>
                <w:rFonts w:ascii="Calibri" w:hAnsi="Calibri" w:cs="Arial"/>
                <w:sz w:val="22"/>
                <w:szCs w:val="22"/>
              </w:rPr>
              <w:t>x</w:t>
            </w:r>
          </w:p>
        </w:tc>
        <w:tc>
          <w:tcPr>
            <w:tcW w:w="922" w:type="dxa"/>
            <w:shd w:val="clear" w:color="auto" w:fill="auto"/>
          </w:tcPr>
          <w:p w:rsidR="00CF76BE" w:rsidRPr="006939F6" w:rsidRDefault="006939F6" w:rsidP="00123AE0">
            <w:pPr>
              <w:jc w:val="center"/>
              <w:rPr>
                <w:rFonts w:ascii="Calibri" w:hAnsi="Calibri" w:cs="Arial"/>
                <w:sz w:val="22"/>
                <w:szCs w:val="22"/>
              </w:rPr>
            </w:pPr>
            <w:r w:rsidRPr="006939F6">
              <w:rPr>
                <w:rFonts w:ascii="Calibri" w:hAnsi="Calibri" w:cs="Arial"/>
                <w:sz w:val="22"/>
                <w:szCs w:val="22"/>
              </w:rPr>
              <w:t>x</w:t>
            </w:r>
          </w:p>
        </w:tc>
        <w:tc>
          <w:tcPr>
            <w:tcW w:w="923" w:type="dxa"/>
            <w:shd w:val="clear" w:color="auto" w:fill="auto"/>
          </w:tcPr>
          <w:p w:rsidR="00CF76BE" w:rsidRPr="00C42AF6" w:rsidRDefault="00CF76BE" w:rsidP="00123AE0">
            <w:pPr>
              <w:jc w:val="center"/>
              <w:rPr>
                <w:rFonts w:ascii="Calibri" w:hAnsi="Calibri" w:cs="Arial"/>
                <w:b/>
                <w:sz w:val="22"/>
                <w:szCs w:val="22"/>
              </w:rPr>
            </w:pPr>
          </w:p>
        </w:tc>
        <w:tc>
          <w:tcPr>
            <w:tcW w:w="1530" w:type="dxa"/>
            <w:shd w:val="clear" w:color="auto" w:fill="auto"/>
          </w:tcPr>
          <w:p w:rsidR="00CF76BE" w:rsidRPr="00C42AF6" w:rsidRDefault="00CF76BE" w:rsidP="00123AE0">
            <w:pPr>
              <w:jc w:val="center"/>
              <w:rPr>
                <w:rFonts w:ascii="Calibri" w:hAnsi="Calibri" w:cs="Arial"/>
                <w:b/>
                <w:sz w:val="22"/>
                <w:szCs w:val="22"/>
              </w:rPr>
            </w:pPr>
          </w:p>
        </w:tc>
      </w:tr>
      <w:tr w:rsidR="00CF76BE" w:rsidRPr="00C42AF6" w:rsidTr="00CF76BE">
        <w:trPr>
          <w:trHeight w:val="242"/>
        </w:trPr>
        <w:tc>
          <w:tcPr>
            <w:tcW w:w="4338" w:type="dxa"/>
            <w:shd w:val="clear" w:color="auto" w:fill="auto"/>
          </w:tcPr>
          <w:p w:rsidR="00CF76BE" w:rsidRPr="00C42AF6" w:rsidRDefault="006939F6" w:rsidP="00123AE0">
            <w:pPr>
              <w:rPr>
                <w:rFonts w:ascii="Calibri" w:hAnsi="Calibri" w:cs="Arial"/>
                <w:sz w:val="22"/>
                <w:szCs w:val="22"/>
              </w:rPr>
            </w:pPr>
            <w:r>
              <w:rPr>
                <w:rFonts w:ascii="Calibri" w:hAnsi="Calibri" w:cs="Arial"/>
                <w:sz w:val="22"/>
                <w:szCs w:val="22"/>
              </w:rPr>
              <w:t>Consolidated report – reviewed &amp; finalized (Oct 2012)</w:t>
            </w:r>
          </w:p>
        </w:tc>
        <w:tc>
          <w:tcPr>
            <w:tcW w:w="922"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3"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2" w:type="dxa"/>
            <w:tcBorders>
              <w:bottom w:val="single" w:sz="4" w:space="0" w:color="auto"/>
            </w:tcBorders>
            <w:shd w:val="clear" w:color="auto" w:fill="auto"/>
          </w:tcPr>
          <w:p w:rsidR="00CF76BE" w:rsidRPr="006939F6" w:rsidRDefault="006939F6" w:rsidP="00123AE0">
            <w:pPr>
              <w:jc w:val="center"/>
              <w:rPr>
                <w:rFonts w:ascii="Calibri" w:hAnsi="Calibri" w:cs="Arial"/>
                <w:sz w:val="22"/>
                <w:szCs w:val="22"/>
              </w:rPr>
            </w:pPr>
            <w:r w:rsidRPr="006939F6">
              <w:rPr>
                <w:rFonts w:ascii="Calibri" w:hAnsi="Calibri" w:cs="Arial"/>
                <w:sz w:val="22"/>
                <w:szCs w:val="22"/>
              </w:rPr>
              <w:t>X</w:t>
            </w:r>
          </w:p>
        </w:tc>
        <w:tc>
          <w:tcPr>
            <w:tcW w:w="923"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1530" w:type="dxa"/>
            <w:shd w:val="clear" w:color="auto" w:fill="auto"/>
          </w:tcPr>
          <w:p w:rsidR="00CF76BE" w:rsidRPr="00C42AF6" w:rsidRDefault="00CF76BE" w:rsidP="00123AE0">
            <w:pPr>
              <w:jc w:val="center"/>
              <w:rPr>
                <w:rFonts w:ascii="Calibri" w:hAnsi="Calibri" w:cs="Arial"/>
                <w:b/>
                <w:sz w:val="22"/>
                <w:szCs w:val="22"/>
              </w:rPr>
            </w:pPr>
          </w:p>
        </w:tc>
      </w:tr>
      <w:tr w:rsidR="00CF76BE" w:rsidRPr="00C42AF6" w:rsidTr="00CF76BE">
        <w:trPr>
          <w:trHeight w:val="242"/>
        </w:trPr>
        <w:tc>
          <w:tcPr>
            <w:tcW w:w="4338" w:type="dxa"/>
            <w:shd w:val="clear" w:color="auto" w:fill="auto"/>
          </w:tcPr>
          <w:p w:rsidR="00CF76BE" w:rsidRPr="00C42AF6" w:rsidRDefault="006939F6" w:rsidP="00123AE0">
            <w:pPr>
              <w:rPr>
                <w:rFonts w:ascii="Calibri" w:hAnsi="Calibri" w:cs="Arial"/>
                <w:sz w:val="22"/>
                <w:szCs w:val="22"/>
              </w:rPr>
            </w:pPr>
            <w:r>
              <w:rPr>
                <w:rFonts w:ascii="Calibri" w:hAnsi="Calibri" w:cs="Arial"/>
                <w:sz w:val="22"/>
                <w:szCs w:val="22"/>
              </w:rPr>
              <w:t xml:space="preserve">Print report, maps, communications </w:t>
            </w:r>
          </w:p>
        </w:tc>
        <w:tc>
          <w:tcPr>
            <w:tcW w:w="922" w:type="dxa"/>
            <w:shd w:val="clear" w:color="auto" w:fill="auto"/>
          </w:tcPr>
          <w:p w:rsidR="00CF76BE" w:rsidRPr="00C42AF6" w:rsidRDefault="00CF76BE" w:rsidP="00123AE0">
            <w:pPr>
              <w:jc w:val="center"/>
              <w:rPr>
                <w:rFonts w:ascii="Calibri" w:hAnsi="Calibri" w:cs="Arial"/>
                <w:b/>
                <w:sz w:val="22"/>
                <w:szCs w:val="22"/>
              </w:rPr>
            </w:pPr>
          </w:p>
        </w:tc>
        <w:tc>
          <w:tcPr>
            <w:tcW w:w="923" w:type="dxa"/>
            <w:shd w:val="clear" w:color="auto" w:fill="auto"/>
          </w:tcPr>
          <w:p w:rsidR="00CF76BE" w:rsidRPr="00C42AF6" w:rsidRDefault="00CF76BE" w:rsidP="00123AE0">
            <w:pPr>
              <w:jc w:val="center"/>
              <w:rPr>
                <w:rFonts w:ascii="Calibri" w:hAnsi="Calibri" w:cs="Arial"/>
                <w:b/>
                <w:sz w:val="22"/>
                <w:szCs w:val="22"/>
              </w:rPr>
            </w:pPr>
          </w:p>
        </w:tc>
        <w:tc>
          <w:tcPr>
            <w:tcW w:w="922" w:type="dxa"/>
            <w:shd w:val="clear" w:color="auto" w:fill="auto"/>
          </w:tcPr>
          <w:p w:rsidR="00CF76BE" w:rsidRPr="007343E5" w:rsidRDefault="007343E5" w:rsidP="00123AE0">
            <w:pPr>
              <w:jc w:val="center"/>
              <w:rPr>
                <w:rFonts w:ascii="Calibri" w:hAnsi="Calibri" w:cs="Arial"/>
                <w:sz w:val="22"/>
                <w:szCs w:val="22"/>
              </w:rPr>
            </w:pPr>
            <w:r w:rsidRPr="007343E5">
              <w:rPr>
                <w:rFonts w:ascii="Calibri" w:hAnsi="Calibri" w:cs="Arial"/>
                <w:sz w:val="22"/>
                <w:szCs w:val="22"/>
              </w:rPr>
              <w:t>X</w:t>
            </w:r>
          </w:p>
        </w:tc>
        <w:tc>
          <w:tcPr>
            <w:tcW w:w="923" w:type="dxa"/>
            <w:tcBorders>
              <w:bottom w:val="single" w:sz="4" w:space="0" w:color="auto"/>
            </w:tcBorders>
            <w:shd w:val="clear" w:color="auto" w:fill="auto"/>
          </w:tcPr>
          <w:p w:rsidR="00CF76BE" w:rsidRPr="007343E5" w:rsidRDefault="00CF76BE" w:rsidP="00123AE0">
            <w:pPr>
              <w:jc w:val="center"/>
              <w:rPr>
                <w:rFonts w:ascii="Calibri" w:hAnsi="Calibri" w:cs="Arial"/>
                <w:sz w:val="22"/>
                <w:szCs w:val="22"/>
              </w:rPr>
            </w:pPr>
          </w:p>
        </w:tc>
        <w:tc>
          <w:tcPr>
            <w:tcW w:w="1530"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r>
      <w:tr w:rsidR="00CF76BE" w:rsidRPr="00C42AF6" w:rsidTr="00CF76BE">
        <w:trPr>
          <w:trHeight w:val="242"/>
        </w:trPr>
        <w:tc>
          <w:tcPr>
            <w:tcW w:w="4338" w:type="dxa"/>
            <w:shd w:val="clear" w:color="auto" w:fill="auto"/>
          </w:tcPr>
          <w:p w:rsidR="00CF76BE" w:rsidRPr="00C42AF6" w:rsidRDefault="007343E5" w:rsidP="00123AE0">
            <w:pPr>
              <w:rPr>
                <w:rFonts w:ascii="Calibri" w:hAnsi="Calibri" w:cs="Arial"/>
                <w:sz w:val="22"/>
                <w:szCs w:val="22"/>
              </w:rPr>
            </w:pPr>
            <w:proofErr w:type="spellStart"/>
            <w:r>
              <w:rPr>
                <w:rFonts w:ascii="Calibri" w:hAnsi="Calibri" w:cs="Arial"/>
                <w:sz w:val="22"/>
                <w:szCs w:val="22"/>
              </w:rPr>
              <w:t>Africities</w:t>
            </w:r>
            <w:proofErr w:type="spellEnd"/>
            <w:r>
              <w:rPr>
                <w:rFonts w:ascii="Calibri" w:hAnsi="Calibri" w:cs="Arial"/>
                <w:sz w:val="22"/>
                <w:szCs w:val="22"/>
              </w:rPr>
              <w:t xml:space="preserve"> Launch – special session </w:t>
            </w:r>
          </w:p>
        </w:tc>
        <w:tc>
          <w:tcPr>
            <w:tcW w:w="922" w:type="dxa"/>
            <w:shd w:val="clear" w:color="auto" w:fill="auto"/>
          </w:tcPr>
          <w:p w:rsidR="00CF76BE" w:rsidRPr="00C42AF6" w:rsidRDefault="00CF76BE" w:rsidP="00123AE0">
            <w:pPr>
              <w:jc w:val="center"/>
              <w:rPr>
                <w:rFonts w:ascii="Calibri" w:hAnsi="Calibri" w:cs="Arial"/>
                <w:b/>
                <w:sz w:val="22"/>
                <w:szCs w:val="22"/>
              </w:rPr>
            </w:pPr>
          </w:p>
        </w:tc>
        <w:tc>
          <w:tcPr>
            <w:tcW w:w="923" w:type="dxa"/>
            <w:shd w:val="clear" w:color="auto" w:fill="auto"/>
          </w:tcPr>
          <w:p w:rsidR="00CF76BE" w:rsidRPr="00C42AF6" w:rsidRDefault="00CF76BE" w:rsidP="00123AE0">
            <w:pPr>
              <w:jc w:val="center"/>
              <w:rPr>
                <w:rFonts w:ascii="Calibri" w:hAnsi="Calibri" w:cs="Arial"/>
                <w:b/>
                <w:sz w:val="22"/>
                <w:szCs w:val="22"/>
              </w:rPr>
            </w:pPr>
          </w:p>
        </w:tc>
        <w:tc>
          <w:tcPr>
            <w:tcW w:w="922" w:type="dxa"/>
            <w:shd w:val="clear" w:color="auto" w:fill="auto"/>
          </w:tcPr>
          <w:p w:rsidR="00CF76BE" w:rsidRPr="007343E5" w:rsidRDefault="00CF76BE" w:rsidP="00123AE0">
            <w:pPr>
              <w:jc w:val="center"/>
              <w:rPr>
                <w:rFonts w:ascii="Calibri" w:hAnsi="Calibri" w:cs="Arial"/>
                <w:sz w:val="22"/>
                <w:szCs w:val="22"/>
              </w:rPr>
            </w:pPr>
          </w:p>
        </w:tc>
        <w:tc>
          <w:tcPr>
            <w:tcW w:w="923" w:type="dxa"/>
            <w:shd w:val="clear" w:color="auto" w:fill="auto"/>
          </w:tcPr>
          <w:p w:rsidR="00CF76BE" w:rsidRPr="007343E5" w:rsidRDefault="007343E5" w:rsidP="00123AE0">
            <w:pPr>
              <w:jc w:val="center"/>
              <w:rPr>
                <w:rFonts w:ascii="Calibri" w:hAnsi="Calibri" w:cs="Arial"/>
                <w:sz w:val="22"/>
                <w:szCs w:val="22"/>
              </w:rPr>
            </w:pPr>
            <w:r w:rsidRPr="007343E5">
              <w:rPr>
                <w:rFonts w:ascii="Calibri" w:hAnsi="Calibri" w:cs="Arial"/>
                <w:sz w:val="22"/>
                <w:szCs w:val="22"/>
              </w:rPr>
              <w:t>X</w:t>
            </w:r>
          </w:p>
        </w:tc>
        <w:tc>
          <w:tcPr>
            <w:tcW w:w="1530" w:type="dxa"/>
            <w:shd w:val="clear" w:color="auto" w:fill="auto"/>
          </w:tcPr>
          <w:p w:rsidR="00CF76BE" w:rsidRPr="00C42AF6" w:rsidRDefault="00CF76BE" w:rsidP="00123AE0">
            <w:pPr>
              <w:jc w:val="center"/>
              <w:rPr>
                <w:rFonts w:ascii="Calibri" w:hAnsi="Calibri" w:cs="Arial"/>
                <w:b/>
                <w:sz w:val="22"/>
                <w:szCs w:val="22"/>
              </w:rPr>
            </w:pPr>
          </w:p>
        </w:tc>
      </w:tr>
      <w:tr w:rsidR="00F82891" w:rsidRPr="00C42AF6" w:rsidTr="00CF76BE">
        <w:trPr>
          <w:trHeight w:val="242"/>
        </w:trPr>
        <w:tc>
          <w:tcPr>
            <w:tcW w:w="4338" w:type="dxa"/>
            <w:shd w:val="clear" w:color="auto" w:fill="auto"/>
          </w:tcPr>
          <w:p w:rsidR="00F82891" w:rsidRPr="00C42AF6" w:rsidRDefault="00F82891" w:rsidP="00123AE0">
            <w:pPr>
              <w:rPr>
                <w:rFonts w:ascii="Calibri" w:hAnsi="Calibri" w:cs="Arial"/>
                <w:sz w:val="22"/>
                <w:szCs w:val="22"/>
              </w:rPr>
            </w:pPr>
            <w:r>
              <w:rPr>
                <w:rFonts w:ascii="Calibri" w:hAnsi="Calibri" w:cs="Arial"/>
                <w:sz w:val="22"/>
                <w:szCs w:val="22"/>
              </w:rPr>
              <w:t>Media Sensitization</w:t>
            </w:r>
          </w:p>
        </w:tc>
        <w:tc>
          <w:tcPr>
            <w:tcW w:w="922" w:type="dxa"/>
            <w:tcBorders>
              <w:bottom w:val="single" w:sz="4" w:space="0" w:color="auto"/>
            </w:tcBorders>
            <w:shd w:val="clear" w:color="auto" w:fill="auto"/>
          </w:tcPr>
          <w:p w:rsidR="00F82891" w:rsidRPr="00C42AF6" w:rsidRDefault="00F82891" w:rsidP="00123AE0">
            <w:pPr>
              <w:jc w:val="center"/>
              <w:rPr>
                <w:rFonts w:ascii="Calibri" w:hAnsi="Calibri" w:cs="Arial"/>
                <w:b/>
                <w:sz w:val="22"/>
                <w:szCs w:val="22"/>
              </w:rPr>
            </w:pPr>
          </w:p>
        </w:tc>
        <w:tc>
          <w:tcPr>
            <w:tcW w:w="923" w:type="dxa"/>
            <w:tcBorders>
              <w:bottom w:val="single" w:sz="4" w:space="0" w:color="auto"/>
            </w:tcBorders>
            <w:shd w:val="clear" w:color="auto" w:fill="auto"/>
          </w:tcPr>
          <w:p w:rsidR="00F82891" w:rsidRPr="00C42AF6" w:rsidRDefault="00F82891" w:rsidP="00123AE0">
            <w:pPr>
              <w:jc w:val="center"/>
              <w:rPr>
                <w:rFonts w:ascii="Calibri" w:hAnsi="Calibri" w:cs="Arial"/>
                <w:b/>
                <w:sz w:val="22"/>
                <w:szCs w:val="22"/>
              </w:rPr>
            </w:pPr>
          </w:p>
        </w:tc>
        <w:tc>
          <w:tcPr>
            <w:tcW w:w="922" w:type="dxa"/>
            <w:tcBorders>
              <w:bottom w:val="single" w:sz="4" w:space="0" w:color="auto"/>
            </w:tcBorders>
            <w:shd w:val="clear" w:color="auto" w:fill="auto"/>
          </w:tcPr>
          <w:p w:rsidR="00F82891" w:rsidRPr="00C42AF6" w:rsidRDefault="00F82891" w:rsidP="00123AE0">
            <w:pPr>
              <w:jc w:val="center"/>
              <w:rPr>
                <w:rFonts w:ascii="Calibri" w:hAnsi="Calibri" w:cs="Arial"/>
                <w:b/>
                <w:sz w:val="22"/>
                <w:szCs w:val="22"/>
              </w:rPr>
            </w:pPr>
          </w:p>
        </w:tc>
        <w:tc>
          <w:tcPr>
            <w:tcW w:w="923" w:type="dxa"/>
            <w:shd w:val="clear" w:color="auto" w:fill="auto"/>
          </w:tcPr>
          <w:p w:rsidR="00F82891" w:rsidRPr="00C42AF6" w:rsidRDefault="00F82891" w:rsidP="00123AE0">
            <w:pPr>
              <w:jc w:val="center"/>
              <w:rPr>
                <w:rFonts w:ascii="Calibri" w:hAnsi="Calibri" w:cs="Arial"/>
                <w:b/>
                <w:sz w:val="22"/>
                <w:szCs w:val="22"/>
              </w:rPr>
            </w:pPr>
            <w:r>
              <w:rPr>
                <w:rFonts w:ascii="Calibri" w:hAnsi="Calibri" w:cs="Arial"/>
                <w:b/>
                <w:sz w:val="22"/>
                <w:szCs w:val="22"/>
              </w:rPr>
              <w:t>X</w:t>
            </w:r>
          </w:p>
        </w:tc>
        <w:tc>
          <w:tcPr>
            <w:tcW w:w="1530" w:type="dxa"/>
            <w:shd w:val="clear" w:color="auto" w:fill="auto"/>
          </w:tcPr>
          <w:p w:rsidR="00F82891" w:rsidRPr="00C42AF6" w:rsidRDefault="00F82891" w:rsidP="00123AE0">
            <w:pPr>
              <w:jc w:val="center"/>
              <w:rPr>
                <w:rFonts w:ascii="Calibri" w:hAnsi="Calibri" w:cs="Arial"/>
                <w:b/>
                <w:sz w:val="22"/>
                <w:szCs w:val="22"/>
              </w:rPr>
            </w:pPr>
          </w:p>
        </w:tc>
      </w:tr>
      <w:tr w:rsidR="00CF76BE" w:rsidRPr="00C42AF6" w:rsidTr="00CF76BE">
        <w:trPr>
          <w:trHeight w:val="242"/>
        </w:trPr>
        <w:tc>
          <w:tcPr>
            <w:tcW w:w="4338" w:type="dxa"/>
            <w:shd w:val="clear" w:color="auto" w:fill="auto"/>
          </w:tcPr>
          <w:p w:rsidR="00CF76BE" w:rsidRPr="00C42AF6" w:rsidRDefault="00CF76BE" w:rsidP="00123AE0">
            <w:pPr>
              <w:rPr>
                <w:rFonts w:ascii="Calibri" w:hAnsi="Calibri" w:cs="Arial"/>
                <w:sz w:val="22"/>
                <w:szCs w:val="22"/>
              </w:rPr>
            </w:pPr>
          </w:p>
        </w:tc>
        <w:tc>
          <w:tcPr>
            <w:tcW w:w="922"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3"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2"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3" w:type="dxa"/>
            <w:shd w:val="clear" w:color="auto" w:fill="auto"/>
          </w:tcPr>
          <w:p w:rsidR="00CF76BE" w:rsidRPr="00C42AF6" w:rsidRDefault="00CF76BE" w:rsidP="00123AE0">
            <w:pPr>
              <w:jc w:val="center"/>
              <w:rPr>
                <w:rFonts w:ascii="Calibri" w:hAnsi="Calibri" w:cs="Arial"/>
                <w:b/>
                <w:sz w:val="22"/>
                <w:szCs w:val="22"/>
              </w:rPr>
            </w:pPr>
          </w:p>
        </w:tc>
        <w:tc>
          <w:tcPr>
            <w:tcW w:w="1530" w:type="dxa"/>
            <w:shd w:val="clear" w:color="auto" w:fill="auto"/>
          </w:tcPr>
          <w:p w:rsidR="00CF76BE" w:rsidRPr="00C42AF6" w:rsidRDefault="00CF76BE" w:rsidP="00123AE0">
            <w:pPr>
              <w:jc w:val="center"/>
              <w:rPr>
                <w:rFonts w:ascii="Calibri" w:hAnsi="Calibri" w:cs="Arial"/>
                <w:b/>
                <w:sz w:val="22"/>
                <w:szCs w:val="22"/>
              </w:rPr>
            </w:pPr>
          </w:p>
        </w:tc>
      </w:tr>
      <w:tr w:rsidR="00CF76BE" w:rsidRPr="00C42AF6" w:rsidTr="00CF76BE">
        <w:trPr>
          <w:trHeight w:val="242"/>
        </w:trPr>
        <w:tc>
          <w:tcPr>
            <w:tcW w:w="4338" w:type="dxa"/>
            <w:shd w:val="clear" w:color="auto" w:fill="auto"/>
          </w:tcPr>
          <w:p w:rsidR="00AA3B9C" w:rsidRPr="00AA3B9C" w:rsidRDefault="00AA3B9C" w:rsidP="00AA3B9C">
            <w:pPr>
              <w:rPr>
                <w:rFonts w:ascii="Calibri" w:hAnsi="Calibri" w:cs="Arial"/>
                <w:b/>
                <w:sz w:val="22"/>
                <w:szCs w:val="22"/>
              </w:rPr>
            </w:pPr>
            <w:r w:rsidRPr="00AA3B9C">
              <w:rPr>
                <w:rFonts w:ascii="Calibri" w:hAnsi="Calibri" w:cs="Arial"/>
                <w:b/>
                <w:sz w:val="22"/>
                <w:szCs w:val="22"/>
              </w:rPr>
              <w:t>Component 2: Knowledge Dissemination</w:t>
            </w:r>
          </w:p>
          <w:p w:rsidR="00CF76BE" w:rsidRPr="00C42AF6" w:rsidRDefault="00CF76BE" w:rsidP="00123AE0">
            <w:pPr>
              <w:rPr>
                <w:rFonts w:ascii="Calibri" w:hAnsi="Calibri" w:cs="Arial"/>
                <w:sz w:val="22"/>
                <w:szCs w:val="22"/>
              </w:rPr>
            </w:pPr>
          </w:p>
        </w:tc>
        <w:tc>
          <w:tcPr>
            <w:tcW w:w="922" w:type="dxa"/>
            <w:shd w:val="clear" w:color="auto" w:fill="auto"/>
          </w:tcPr>
          <w:p w:rsidR="00CF76BE" w:rsidRPr="00C42AF6" w:rsidRDefault="00CF76BE" w:rsidP="00123AE0">
            <w:pPr>
              <w:jc w:val="center"/>
              <w:rPr>
                <w:rFonts w:ascii="Calibri" w:hAnsi="Calibri" w:cs="Arial"/>
                <w:b/>
                <w:sz w:val="22"/>
                <w:szCs w:val="22"/>
              </w:rPr>
            </w:pPr>
          </w:p>
        </w:tc>
        <w:tc>
          <w:tcPr>
            <w:tcW w:w="923"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2"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3"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1530"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623B74" w:rsidP="00123AE0">
            <w:pPr>
              <w:rPr>
                <w:rFonts w:ascii="Calibri" w:hAnsi="Calibri" w:cs="Arial"/>
                <w:sz w:val="22"/>
                <w:szCs w:val="22"/>
              </w:rPr>
            </w:pPr>
            <w:r>
              <w:rPr>
                <w:rFonts w:ascii="Calibri" w:hAnsi="Calibri" w:cs="Arial"/>
                <w:sz w:val="22"/>
                <w:szCs w:val="22"/>
              </w:rPr>
              <w:lastRenderedPageBreak/>
              <w:t xml:space="preserve">Recruit Knowledge Management Specialist </w:t>
            </w:r>
          </w:p>
        </w:tc>
        <w:tc>
          <w:tcPr>
            <w:tcW w:w="922" w:type="dxa"/>
            <w:shd w:val="clear" w:color="auto" w:fill="auto"/>
          </w:tcPr>
          <w:p w:rsidR="00AA3B9C" w:rsidRPr="00623B74" w:rsidRDefault="00623B74" w:rsidP="00123AE0">
            <w:pPr>
              <w:jc w:val="center"/>
              <w:rPr>
                <w:rFonts w:ascii="Calibri" w:hAnsi="Calibri" w:cs="Arial"/>
                <w:sz w:val="22"/>
                <w:szCs w:val="22"/>
              </w:rPr>
            </w:pPr>
            <w:r w:rsidRPr="00623B74">
              <w:rPr>
                <w:rFonts w:ascii="Calibri" w:hAnsi="Calibri" w:cs="Arial"/>
                <w:sz w:val="22"/>
                <w:szCs w:val="22"/>
              </w:rPr>
              <w:t>X</w:t>
            </w:r>
          </w:p>
        </w:tc>
        <w:tc>
          <w:tcPr>
            <w:tcW w:w="923" w:type="dxa"/>
            <w:shd w:val="clear" w:color="auto" w:fill="auto"/>
          </w:tcPr>
          <w:p w:rsidR="00AA3B9C" w:rsidRPr="00623B74" w:rsidRDefault="00AA3B9C" w:rsidP="00123AE0">
            <w:pPr>
              <w:jc w:val="center"/>
              <w:rPr>
                <w:rFonts w:ascii="Calibri" w:hAnsi="Calibri" w:cs="Arial"/>
                <w:sz w:val="22"/>
                <w:szCs w:val="22"/>
              </w:rPr>
            </w:pP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623B74" w:rsidP="00123AE0">
            <w:pPr>
              <w:rPr>
                <w:rFonts w:ascii="Calibri" w:hAnsi="Calibri" w:cs="Arial"/>
                <w:sz w:val="22"/>
                <w:szCs w:val="22"/>
              </w:rPr>
            </w:pPr>
            <w:r>
              <w:rPr>
                <w:rFonts w:ascii="Calibri" w:hAnsi="Calibri" w:cs="Arial"/>
                <w:sz w:val="22"/>
                <w:szCs w:val="22"/>
              </w:rPr>
              <w:t xml:space="preserve">Mission to Rabat &amp; DC </w:t>
            </w:r>
          </w:p>
        </w:tc>
        <w:tc>
          <w:tcPr>
            <w:tcW w:w="922" w:type="dxa"/>
            <w:shd w:val="clear" w:color="auto" w:fill="auto"/>
          </w:tcPr>
          <w:p w:rsidR="00AA3B9C" w:rsidRPr="00623B74" w:rsidRDefault="00623B74" w:rsidP="00123AE0">
            <w:pPr>
              <w:jc w:val="center"/>
              <w:rPr>
                <w:rFonts w:ascii="Calibri" w:hAnsi="Calibri" w:cs="Arial"/>
                <w:sz w:val="22"/>
                <w:szCs w:val="22"/>
              </w:rPr>
            </w:pPr>
            <w:r w:rsidRPr="00623B74">
              <w:rPr>
                <w:rFonts w:ascii="Calibri" w:hAnsi="Calibri" w:cs="Arial"/>
                <w:sz w:val="22"/>
                <w:szCs w:val="22"/>
              </w:rPr>
              <w:t>X</w:t>
            </w:r>
          </w:p>
        </w:tc>
        <w:tc>
          <w:tcPr>
            <w:tcW w:w="923" w:type="dxa"/>
            <w:shd w:val="clear" w:color="auto" w:fill="auto"/>
          </w:tcPr>
          <w:p w:rsidR="00AA3B9C" w:rsidRPr="00623B74" w:rsidRDefault="00623B74" w:rsidP="00123AE0">
            <w:pPr>
              <w:jc w:val="center"/>
              <w:rPr>
                <w:rFonts w:ascii="Calibri" w:hAnsi="Calibri" w:cs="Arial"/>
                <w:sz w:val="22"/>
                <w:szCs w:val="22"/>
              </w:rPr>
            </w:pPr>
            <w:r w:rsidRPr="00623B74">
              <w:rPr>
                <w:rFonts w:ascii="Calibri" w:hAnsi="Calibri" w:cs="Arial"/>
                <w:sz w:val="22"/>
                <w:szCs w:val="22"/>
              </w:rPr>
              <w:t>X</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C726F0" w:rsidRPr="00C42AF6" w:rsidTr="00CF76BE">
        <w:trPr>
          <w:trHeight w:val="242"/>
        </w:trPr>
        <w:tc>
          <w:tcPr>
            <w:tcW w:w="4338" w:type="dxa"/>
            <w:shd w:val="clear" w:color="auto" w:fill="auto"/>
          </w:tcPr>
          <w:p w:rsidR="00C726F0" w:rsidRPr="00C726F0" w:rsidRDefault="00C726F0" w:rsidP="00123AE0">
            <w:pPr>
              <w:rPr>
                <w:rFonts w:ascii="Calibri" w:hAnsi="Calibri" w:cs="Arial"/>
                <w:sz w:val="22"/>
                <w:szCs w:val="22"/>
              </w:rPr>
            </w:pPr>
            <w:r>
              <w:rPr>
                <w:rFonts w:ascii="Calibri" w:hAnsi="Calibri" w:cs="Arial"/>
                <w:sz w:val="22"/>
                <w:szCs w:val="22"/>
              </w:rPr>
              <w:t xml:space="preserve">Recruit </w:t>
            </w:r>
            <w:r w:rsidRPr="00C726F0">
              <w:rPr>
                <w:rFonts w:ascii="Calibri" w:hAnsi="Calibri" w:cs="Arial"/>
                <w:sz w:val="22"/>
                <w:szCs w:val="22"/>
              </w:rPr>
              <w:t xml:space="preserve">Knowledge Management Officer </w:t>
            </w:r>
          </w:p>
        </w:tc>
        <w:tc>
          <w:tcPr>
            <w:tcW w:w="922" w:type="dxa"/>
            <w:shd w:val="clear" w:color="auto" w:fill="auto"/>
          </w:tcPr>
          <w:p w:rsidR="00C726F0" w:rsidRPr="00C42AF6" w:rsidRDefault="00C726F0" w:rsidP="00123AE0">
            <w:pPr>
              <w:jc w:val="center"/>
              <w:rPr>
                <w:rFonts w:ascii="Calibri" w:hAnsi="Calibri" w:cs="Arial"/>
                <w:b/>
                <w:sz w:val="22"/>
                <w:szCs w:val="22"/>
              </w:rPr>
            </w:pPr>
          </w:p>
        </w:tc>
        <w:tc>
          <w:tcPr>
            <w:tcW w:w="923" w:type="dxa"/>
            <w:shd w:val="clear" w:color="auto" w:fill="auto"/>
          </w:tcPr>
          <w:p w:rsidR="00C726F0" w:rsidRPr="00556215" w:rsidRDefault="00C726F0" w:rsidP="00123AE0">
            <w:pPr>
              <w:jc w:val="center"/>
              <w:rPr>
                <w:rFonts w:ascii="Calibri" w:hAnsi="Calibri" w:cs="Arial"/>
                <w:sz w:val="22"/>
                <w:szCs w:val="22"/>
              </w:rPr>
            </w:pPr>
            <w:r w:rsidRPr="00556215">
              <w:rPr>
                <w:rFonts w:ascii="Calibri" w:hAnsi="Calibri" w:cs="Arial"/>
                <w:sz w:val="22"/>
                <w:szCs w:val="22"/>
              </w:rPr>
              <w:t>x</w:t>
            </w:r>
          </w:p>
        </w:tc>
        <w:tc>
          <w:tcPr>
            <w:tcW w:w="922" w:type="dxa"/>
            <w:shd w:val="clear" w:color="auto" w:fill="auto"/>
          </w:tcPr>
          <w:p w:rsidR="00C726F0" w:rsidRPr="00556215" w:rsidRDefault="00C726F0" w:rsidP="00123AE0">
            <w:pPr>
              <w:jc w:val="center"/>
              <w:rPr>
                <w:rFonts w:ascii="Calibri" w:hAnsi="Calibri" w:cs="Arial"/>
                <w:sz w:val="22"/>
                <w:szCs w:val="22"/>
              </w:rPr>
            </w:pPr>
          </w:p>
        </w:tc>
        <w:tc>
          <w:tcPr>
            <w:tcW w:w="923" w:type="dxa"/>
            <w:shd w:val="clear" w:color="auto" w:fill="auto"/>
          </w:tcPr>
          <w:p w:rsidR="00C726F0" w:rsidRPr="00556215" w:rsidRDefault="00C726F0" w:rsidP="00123AE0">
            <w:pPr>
              <w:jc w:val="center"/>
              <w:rPr>
                <w:rFonts w:ascii="Calibri" w:hAnsi="Calibri" w:cs="Arial"/>
                <w:sz w:val="22"/>
                <w:szCs w:val="22"/>
              </w:rPr>
            </w:pPr>
          </w:p>
        </w:tc>
        <w:tc>
          <w:tcPr>
            <w:tcW w:w="1530" w:type="dxa"/>
            <w:shd w:val="clear" w:color="auto" w:fill="auto"/>
          </w:tcPr>
          <w:p w:rsidR="00C726F0" w:rsidRPr="00C42AF6" w:rsidRDefault="00C726F0"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C726F0" w:rsidP="00123AE0">
            <w:pPr>
              <w:rPr>
                <w:rFonts w:ascii="Calibri" w:hAnsi="Calibri" w:cs="Arial"/>
                <w:sz w:val="22"/>
                <w:szCs w:val="22"/>
              </w:rPr>
            </w:pPr>
            <w:r w:rsidRPr="00C726F0">
              <w:rPr>
                <w:rFonts w:ascii="Calibri" w:hAnsi="Calibri" w:cs="Arial"/>
                <w:sz w:val="22"/>
                <w:szCs w:val="22"/>
              </w:rPr>
              <w:t>High level knowledge management strategy, 1 year action plan</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556215" w:rsidRDefault="00C726F0" w:rsidP="00123AE0">
            <w:pPr>
              <w:jc w:val="center"/>
              <w:rPr>
                <w:rFonts w:ascii="Calibri" w:hAnsi="Calibri" w:cs="Arial"/>
                <w:sz w:val="22"/>
                <w:szCs w:val="22"/>
              </w:rPr>
            </w:pPr>
            <w:r w:rsidRPr="00556215">
              <w:rPr>
                <w:rFonts w:ascii="Calibri" w:hAnsi="Calibri" w:cs="Arial"/>
                <w:sz w:val="22"/>
                <w:szCs w:val="22"/>
              </w:rPr>
              <w:t>x</w:t>
            </w:r>
          </w:p>
        </w:tc>
        <w:tc>
          <w:tcPr>
            <w:tcW w:w="922" w:type="dxa"/>
            <w:shd w:val="clear" w:color="auto" w:fill="auto"/>
          </w:tcPr>
          <w:p w:rsidR="00AA3B9C" w:rsidRPr="00556215" w:rsidRDefault="00AA3B9C" w:rsidP="00123AE0">
            <w:pPr>
              <w:jc w:val="center"/>
              <w:rPr>
                <w:rFonts w:ascii="Calibri" w:hAnsi="Calibri" w:cs="Arial"/>
                <w:sz w:val="22"/>
                <w:szCs w:val="22"/>
              </w:rPr>
            </w:pPr>
          </w:p>
        </w:tc>
        <w:tc>
          <w:tcPr>
            <w:tcW w:w="923" w:type="dxa"/>
            <w:shd w:val="clear" w:color="auto" w:fill="auto"/>
          </w:tcPr>
          <w:p w:rsidR="00AA3B9C" w:rsidRPr="00556215" w:rsidRDefault="00AA3B9C" w:rsidP="00123AE0">
            <w:pPr>
              <w:jc w:val="center"/>
              <w:rPr>
                <w:rFonts w:ascii="Calibri" w:hAnsi="Calibri" w:cs="Arial"/>
                <w:sz w:val="22"/>
                <w:szCs w:val="22"/>
              </w:rPr>
            </w:pP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C726F0" w:rsidP="00123AE0">
            <w:pPr>
              <w:rPr>
                <w:rFonts w:ascii="Calibri" w:hAnsi="Calibri" w:cs="Arial"/>
                <w:sz w:val="22"/>
                <w:szCs w:val="22"/>
              </w:rPr>
            </w:pPr>
            <w:r w:rsidRPr="00C726F0">
              <w:rPr>
                <w:rFonts w:ascii="Calibri" w:hAnsi="Calibri" w:cs="Arial"/>
                <w:sz w:val="22"/>
                <w:szCs w:val="22"/>
              </w:rPr>
              <w:t>Periodic newsletters and branded web content</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556215" w:rsidRDefault="00C726F0" w:rsidP="00123AE0">
            <w:pPr>
              <w:jc w:val="center"/>
              <w:rPr>
                <w:rFonts w:ascii="Calibri" w:hAnsi="Calibri" w:cs="Arial"/>
                <w:sz w:val="22"/>
                <w:szCs w:val="22"/>
              </w:rPr>
            </w:pPr>
            <w:r w:rsidRPr="00556215">
              <w:rPr>
                <w:rFonts w:ascii="Calibri" w:hAnsi="Calibri" w:cs="Arial"/>
                <w:sz w:val="22"/>
                <w:szCs w:val="22"/>
              </w:rPr>
              <w:t>x</w:t>
            </w:r>
          </w:p>
        </w:tc>
        <w:tc>
          <w:tcPr>
            <w:tcW w:w="922" w:type="dxa"/>
            <w:shd w:val="clear" w:color="auto" w:fill="auto"/>
          </w:tcPr>
          <w:p w:rsidR="00AA3B9C" w:rsidRPr="00556215" w:rsidRDefault="00C726F0" w:rsidP="00123AE0">
            <w:pPr>
              <w:jc w:val="center"/>
              <w:rPr>
                <w:rFonts w:ascii="Calibri" w:hAnsi="Calibri" w:cs="Arial"/>
                <w:sz w:val="22"/>
                <w:szCs w:val="22"/>
              </w:rPr>
            </w:pPr>
            <w:r w:rsidRPr="00556215">
              <w:rPr>
                <w:rFonts w:ascii="Calibri" w:hAnsi="Calibri" w:cs="Arial"/>
                <w:sz w:val="22"/>
                <w:szCs w:val="22"/>
              </w:rPr>
              <w:t>x</w:t>
            </w:r>
          </w:p>
        </w:tc>
        <w:tc>
          <w:tcPr>
            <w:tcW w:w="923" w:type="dxa"/>
            <w:shd w:val="clear" w:color="auto" w:fill="auto"/>
          </w:tcPr>
          <w:p w:rsidR="00AA3B9C" w:rsidRPr="00556215" w:rsidRDefault="00C726F0" w:rsidP="00123AE0">
            <w:pPr>
              <w:jc w:val="center"/>
              <w:rPr>
                <w:rFonts w:ascii="Calibri" w:hAnsi="Calibri" w:cs="Arial"/>
                <w:sz w:val="22"/>
                <w:szCs w:val="22"/>
              </w:rPr>
            </w:pPr>
            <w:r w:rsidRPr="00556215">
              <w:rPr>
                <w:rFonts w:ascii="Calibri" w:hAnsi="Calibri" w:cs="Arial"/>
                <w:sz w:val="22"/>
                <w:szCs w:val="22"/>
              </w:rPr>
              <w:t>x</w:t>
            </w: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2010F6" w:rsidP="00123AE0">
            <w:pPr>
              <w:rPr>
                <w:rFonts w:ascii="Calibri" w:hAnsi="Calibri" w:cs="Arial"/>
                <w:sz w:val="22"/>
                <w:szCs w:val="22"/>
              </w:rPr>
            </w:pPr>
            <w:r w:rsidRPr="002010F6">
              <w:rPr>
                <w:rFonts w:ascii="Calibri" w:hAnsi="Calibri" w:cs="Arial"/>
                <w:sz w:val="22"/>
                <w:szCs w:val="22"/>
              </w:rPr>
              <w:t>Thematically packaged knowledge and information products</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556215" w:rsidRDefault="002010F6" w:rsidP="00123AE0">
            <w:pPr>
              <w:jc w:val="center"/>
              <w:rPr>
                <w:rFonts w:ascii="Calibri" w:hAnsi="Calibri" w:cs="Arial"/>
                <w:sz w:val="22"/>
                <w:szCs w:val="22"/>
              </w:rPr>
            </w:pPr>
            <w:r w:rsidRPr="00556215">
              <w:rPr>
                <w:rFonts w:ascii="Calibri" w:hAnsi="Calibri" w:cs="Arial"/>
                <w:sz w:val="22"/>
                <w:szCs w:val="22"/>
              </w:rPr>
              <w:t>x</w:t>
            </w:r>
          </w:p>
        </w:tc>
        <w:tc>
          <w:tcPr>
            <w:tcW w:w="922" w:type="dxa"/>
            <w:shd w:val="clear" w:color="auto" w:fill="auto"/>
          </w:tcPr>
          <w:p w:rsidR="00AA3B9C" w:rsidRPr="00556215" w:rsidRDefault="002010F6" w:rsidP="00123AE0">
            <w:pPr>
              <w:jc w:val="center"/>
              <w:rPr>
                <w:rFonts w:ascii="Calibri" w:hAnsi="Calibri" w:cs="Arial"/>
                <w:sz w:val="22"/>
                <w:szCs w:val="22"/>
              </w:rPr>
            </w:pPr>
            <w:r w:rsidRPr="00556215">
              <w:rPr>
                <w:rFonts w:ascii="Calibri" w:hAnsi="Calibri" w:cs="Arial"/>
                <w:sz w:val="22"/>
                <w:szCs w:val="22"/>
              </w:rPr>
              <w:t>x</w:t>
            </w:r>
          </w:p>
        </w:tc>
        <w:tc>
          <w:tcPr>
            <w:tcW w:w="923" w:type="dxa"/>
            <w:shd w:val="clear" w:color="auto" w:fill="auto"/>
          </w:tcPr>
          <w:p w:rsidR="00AA3B9C" w:rsidRPr="00556215" w:rsidRDefault="002010F6" w:rsidP="00123AE0">
            <w:pPr>
              <w:jc w:val="center"/>
              <w:rPr>
                <w:rFonts w:ascii="Calibri" w:hAnsi="Calibri" w:cs="Arial"/>
                <w:sz w:val="22"/>
                <w:szCs w:val="22"/>
              </w:rPr>
            </w:pPr>
            <w:r w:rsidRPr="00556215">
              <w:rPr>
                <w:rFonts w:ascii="Calibri" w:hAnsi="Calibri" w:cs="Arial"/>
                <w:sz w:val="22"/>
                <w:szCs w:val="22"/>
              </w:rPr>
              <w:t>x</w:t>
            </w: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556215" w:rsidP="00556215">
            <w:pPr>
              <w:rPr>
                <w:rFonts w:ascii="Calibri" w:hAnsi="Calibri" w:cs="Arial"/>
                <w:sz w:val="22"/>
                <w:szCs w:val="22"/>
              </w:rPr>
            </w:pPr>
            <w:r>
              <w:rPr>
                <w:rFonts w:ascii="Calibri" w:hAnsi="Calibri" w:cs="Arial"/>
                <w:sz w:val="22"/>
                <w:szCs w:val="22"/>
              </w:rPr>
              <w:t>Develop a c</w:t>
            </w:r>
            <w:r w:rsidRPr="00556215">
              <w:rPr>
                <w:rFonts w:ascii="Calibri" w:hAnsi="Calibri" w:cs="Arial"/>
                <w:sz w:val="22"/>
                <w:szCs w:val="22"/>
              </w:rPr>
              <w:t>oncept note to inform the design and use of the database</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556215" w:rsidRDefault="00556215" w:rsidP="00123AE0">
            <w:pPr>
              <w:jc w:val="center"/>
              <w:rPr>
                <w:rFonts w:ascii="Calibri" w:hAnsi="Calibri" w:cs="Arial"/>
                <w:sz w:val="22"/>
                <w:szCs w:val="22"/>
              </w:rPr>
            </w:pPr>
            <w:r w:rsidRPr="00556215">
              <w:rPr>
                <w:rFonts w:ascii="Calibri" w:hAnsi="Calibri" w:cs="Arial"/>
                <w:sz w:val="22"/>
                <w:szCs w:val="22"/>
              </w:rPr>
              <w:t xml:space="preserve">X </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556215" w:rsidP="00556215">
            <w:pPr>
              <w:rPr>
                <w:rFonts w:ascii="Calibri" w:hAnsi="Calibri" w:cs="Arial"/>
                <w:sz w:val="22"/>
                <w:szCs w:val="22"/>
              </w:rPr>
            </w:pPr>
            <w:r>
              <w:rPr>
                <w:rFonts w:ascii="Calibri" w:hAnsi="Calibri" w:cs="Arial"/>
                <w:sz w:val="22"/>
                <w:szCs w:val="22"/>
              </w:rPr>
              <w:t>Develop c</w:t>
            </w:r>
            <w:r w:rsidRPr="00556215">
              <w:rPr>
                <w:rFonts w:ascii="Calibri" w:hAnsi="Calibri" w:cs="Arial"/>
                <w:sz w:val="22"/>
                <w:szCs w:val="22"/>
              </w:rPr>
              <w:t xml:space="preserve">ommunications material to introduce the </w:t>
            </w:r>
            <w:r>
              <w:rPr>
                <w:rFonts w:ascii="Calibri" w:hAnsi="Calibri" w:cs="Arial"/>
                <w:sz w:val="22"/>
                <w:szCs w:val="22"/>
              </w:rPr>
              <w:t xml:space="preserve">database </w:t>
            </w:r>
            <w:r w:rsidRPr="00556215">
              <w:rPr>
                <w:rFonts w:ascii="Calibri" w:hAnsi="Calibri" w:cs="Arial"/>
                <w:sz w:val="22"/>
                <w:szCs w:val="22"/>
              </w:rPr>
              <w:t>project</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556215" w:rsidRDefault="00556215" w:rsidP="00123AE0">
            <w:pPr>
              <w:jc w:val="center"/>
              <w:rPr>
                <w:rFonts w:ascii="Calibri" w:hAnsi="Calibri" w:cs="Arial"/>
                <w:sz w:val="22"/>
                <w:szCs w:val="22"/>
              </w:rPr>
            </w:pPr>
            <w:r w:rsidRPr="00556215">
              <w:rPr>
                <w:rFonts w:ascii="Calibri" w:hAnsi="Calibri" w:cs="Arial"/>
                <w:sz w:val="22"/>
                <w:szCs w:val="22"/>
              </w:rPr>
              <w:t>x</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556215" w:rsidP="00123AE0">
            <w:pPr>
              <w:rPr>
                <w:rFonts w:ascii="Calibri" w:hAnsi="Calibri" w:cs="Arial"/>
                <w:sz w:val="22"/>
                <w:szCs w:val="22"/>
              </w:rPr>
            </w:pPr>
            <w:r w:rsidRPr="00556215">
              <w:rPr>
                <w:rFonts w:ascii="Calibri" w:hAnsi="Calibri" w:cs="Arial"/>
                <w:sz w:val="22"/>
                <w:szCs w:val="22"/>
              </w:rPr>
              <w:t>Develop dissemination database</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556215" w:rsidRDefault="00556215" w:rsidP="00123AE0">
            <w:pPr>
              <w:jc w:val="center"/>
              <w:rPr>
                <w:rFonts w:ascii="Calibri" w:hAnsi="Calibri" w:cs="Arial"/>
                <w:sz w:val="22"/>
                <w:szCs w:val="22"/>
              </w:rPr>
            </w:pPr>
            <w:r w:rsidRPr="00556215">
              <w:rPr>
                <w:rFonts w:ascii="Calibri" w:hAnsi="Calibri" w:cs="Arial"/>
                <w:sz w:val="22"/>
                <w:szCs w:val="22"/>
              </w:rPr>
              <w:t>x</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556215" w:rsidP="00123AE0">
            <w:pPr>
              <w:rPr>
                <w:rFonts w:ascii="Calibri" w:hAnsi="Calibri" w:cs="Arial"/>
                <w:sz w:val="22"/>
                <w:szCs w:val="22"/>
              </w:rPr>
            </w:pPr>
            <w:r w:rsidRPr="00556215">
              <w:rPr>
                <w:rFonts w:ascii="Calibri" w:hAnsi="Calibri" w:cs="Arial"/>
                <w:sz w:val="22"/>
                <w:szCs w:val="22"/>
              </w:rPr>
              <w:t>Compile email distribution lists</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556215" w:rsidRDefault="00556215" w:rsidP="00123AE0">
            <w:pPr>
              <w:jc w:val="center"/>
              <w:rPr>
                <w:rFonts w:ascii="Calibri" w:hAnsi="Calibri" w:cs="Arial"/>
                <w:sz w:val="22"/>
                <w:szCs w:val="22"/>
              </w:rPr>
            </w:pPr>
            <w:r w:rsidRPr="00556215">
              <w:rPr>
                <w:rFonts w:ascii="Calibri" w:hAnsi="Calibri" w:cs="Arial"/>
                <w:sz w:val="22"/>
                <w:szCs w:val="22"/>
              </w:rPr>
              <w:t>x</w:t>
            </w:r>
          </w:p>
        </w:tc>
        <w:tc>
          <w:tcPr>
            <w:tcW w:w="922" w:type="dxa"/>
            <w:shd w:val="clear" w:color="auto" w:fill="auto"/>
          </w:tcPr>
          <w:p w:rsidR="00AA3B9C" w:rsidRPr="00C42AF6" w:rsidRDefault="00F82891" w:rsidP="00123AE0">
            <w:pPr>
              <w:jc w:val="center"/>
              <w:rPr>
                <w:rFonts w:ascii="Calibri" w:hAnsi="Calibri" w:cs="Arial"/>
                <w:b/>
                <w:sz w:val="22"/>
                <w:szCs w:val="22"/>
              </w:rPr>
            </w:pPr>
            <w:r>
              <w:rPr>
                <w:rFonts w:ascii="Calibri" w:hAnsi="Calibri" w:cs="Arial"/>
                <w:b/>
                <w:sz w:val="22"/>
                <w:szCs w:val="22"/>
              </w:rPr>
              <w:t>X</w:t>
            </w: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AA3B9C" w:rsidP="00123AE0">
            <w:pPr>
              <w:rPr>
                <w:rFonts w:ascii="Calibri" w:hAnsi="Calibri" w:cs="Arial"/>
                <w:sz w:val="22"/>
                <w:szCs w:val="22"/>
              </w:rPr>
            </w:pP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94813" w:rsidRDefault="00C94813" w:rsidP="00123AE0">
            <w:pPr>
              <w:rPr>
                <w:rFonts w:ascii="Calibri" w:hAnsi="Calibri" w:cs="Arial"/>
                <w:b/>
                <w:sz w:val="22"/>
                <w:szCs w:val="22"/>
              </w:rPr>
            </w:pPr>
            <w:r w:rsidRPr="00C94813">
              <w:rPr>
                <w:rFonts w:ascii="Calibri" w:hAnsi="Calibri" w:cs="Arial"/>
                <w:b/>
                <w:sz w:val="22"/>
                <w:szCs w:val="22"/>
              </w:rPr>
              <w:t>Component 3: CA/UCLGA Policy Advisory Forum on Financing African Cities</w:t>
            </w: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AA3B9C" w:rsidRPr="00C42AF6" w:rsidTr="00CF76BE">
        <w:trPr>
          <w:trHeight w:val="242"/>
        </w:trPr>
        <w:tc>
          <w:tcPr>
            <w:tcW w:w="4338" w:type="dxa"/>
            <w:shd w:val="clear" w:color="auto" w:fill="auto"/>
          </w:tcPr>
          <w:p w:rsidR="00AA3B9C" w:rsidRPr="00C42AF6" w:rsidRDefault="00C94813" w:rsidP="00123AE0">
            <w:pPr>
              <w:rPr>
                <w:rFonts w:ascii="Calibri" w:hAnsi="Calibri" w:cs="Arial"/>
                <w:sz w:val="22"/>
                <w:szCs w:val="22"/>
              </w:rPr>
            </w:pPr>
            <w:r>
              <w:rPr>
                <w:rFonts w:ascii="Calibri" w:hAnsi="Calibri" w:cs="Arial"/>
                <w:sz w:val="22"/>
                <w:szCs w:val="22"/>
              </w:rPr>
              <w:t>Concept note</w:t>
            </w:r>
          </w:p>
        </w:tc>
        <w:tc>
          <w:tcPr>
            <w:tcW w:w="922" w:type="dxa"/>
            <w:shd w:val="clear" w:color="auto" w:fill="auto"/>
          </w:tcPr>
          <w:p w:rsidR="00AA3B9C" w:rsidRPr="00C42AF6" w:rsidRDefault="00C94813" w:rsidP="00123AE0">
            <w:pPr>
              <w:jc w:val="center"/>
              <w:rPr>
                <w:rFonts w:ascii="Calibri" w:hAnsi="Calibri" w:cs="Arial"/>
                <w:b/>
                <w:sz w:val="22"/>
                <w:szCs w:val="22"/>
              </w:rPr>
            </w:pPr>
            <w:r>
              <w:rPr>
                <w:rFonts w:ascii="Calibri" w:hAnsi="Calibri" w:cs="Arial"/>
                <w:b/>
                <w:sz w:val="22"/>
                <w:szCs w:val="22"/>
              </w:rPr>
              <w:t>X</w:t>
            </w: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922" w:type="dxa"/>
            <w:shd w:val="clear" w:color="auto" w:fill="auto"/>
          </w:tcPr>
          <w:p w:rsidR="00AA3B9C" w:rsidRPr="00C42AF6" w:rsidRDefault="00AA3B9C" w:rsidP="00123AE0">
            <w:pPr>
              <w:jc w:val="center"/>
              <w:rPr>
                <w:rFonts w:ascii="Calibri" w:hAnsi="Calibri" w:cs="Arial"/>
                <w:b/>
                <w:sz w:val="22"/>
                <w:szCs w:val="22"/>
              </w:rPr>
            </w:pPr>
          </w:p>
        </w:tc>
        <w:tc>
          <w:tcPr>
            <w:tcW w:w="923" w:type="dxa"/>
            <w:shd w:val="clear" w:color="auto" w:fill="auto"/>
          </w:tcPr>
          <w:p w:rsidR="00AA3B9C" w:rsidRPr="00C42AF6" w:rsidRDefault="00AA3B9C" w:rsidP="00123AE0">
            <w:pPr>
              <w:jc w:val="center"/>
              <w:rPr>
                <w:rFonts w:ascii="Calibri" w:hAnsi="Calibri" w:cs="Arial"/>
                <w:b/>
                <w:sz w:val="22"/>
                <w:szCs w:val="22"/>
              </w:rPr>
            </w:pPr>
          </w:p>
        </w:tc>
        <w:tc>
          <w:tcPr>
            <w:tcW w:w="1530" w:type="dxa"/>
            <w:shd w:val="clear" w:color="auto" w:fill="auto"/>
          </w:tcPr>
          <w:p w:rsidR="00AA3B9C" w:rsidRPr="00C42AF6" w:rsidRDefault="00AA3B9C" w:rsidP="00123AE0">
            <w:pPr>
              <w:jc w:val="center"/>
              <w:rPr>
                <w:rFonts w:ascii="Calibri" w:hAnsi="Calibri" w:cs="Arial"/>
                <w:b/>
                <w:sz w:val="22"/>
                <w:szCs w:val="22"/>
              </w:rPr>
            </w:pPr>
          </w:p>
        </w:tc>
      </w:tr>
      <w:tr w:rsidR="00CF76BE" w:rsidRPr="00C42AF6" w:rsidTr="00CF76BE">
        <w:trPr>
          <w:trHeight w:val="242"/>
        </w:trPr>
        <w:tc>
          <w:tcPr>
            <w:tcW w:w="4338" w:type="dxa"/>
            <w:shd w:val="clear" w:color="auto" w:fill="auto"/>
          </w:tcPr>
          <w:p w:rsidR="00CF76BE" w:rsidRPr="00C42AF6" w:rsidRDefault="00C94813" w:rsidP="00123AE0">
            <w:pPr>
              <w:rPr>
                <w:rFonts w:ascii="Calibri" w:hAnsi="Calibri" w:cs="Arial"/>
                <w:sz w:val="22"/>
                <w:szCs w:val="22"/>
              </w:rPr>
            </w:pPr>
            <w:r>
              <w:rPr>
                <w:rFonts w:ascii="Calibri" w:hAnsi="Calibri" w:cs="Arial"/>
                <w:sz w:val="22"/>
                <w:szCs w:val="22"/>
              </w:rPr>
              <w:t xml:space="preserve">Deliver the </w:t>
            </w:r>
            <w:r w:rsidRPr="00C94813">
              <w:rPr>
                <w:rFonts w:ascii="Calibri" w:hAnsi="Calibri" w:cs="Arial"/>
                <w:sz w:val="22"/>
                <w:szCs w:val="22"/>
              </w:rPr>
              <w:t>Component 3: CA/UCLGA Policy Advisory Forum on Financing African Cities</w:t>
            </w:r>
          </w:p>
        </w:tc>
        <w:tc>
          <w:tcPr>
            <w:tcW w:w="922" w:type="dxa"/>
            <w:shd w:val="clear" w:color="auto" w:fill="auto"/>
          </w:tcPr>
          <w:p w:rsidR="00CF76BE" w:rsidRPr="00C42AF6" w:rsidRDefault="00CF76BE" w:rsidP="00123AE0">
            <w:pPr>
              <w:jc w:val="center"/>
              <w:rPr>
                <w:rFonts w:ascii="Calibri" w:hAnsi="Calibri" w:cs="Arial"/>
                <w:b/>
                <w:sz w:val="22"/>
                <w:szCs w:val="22"/>
              </w:rPr>
            </w:pPr>
          </w:p>
        </w:tc>
        <w:tc>
          <w:tcPr>
            <w:tcW w:w="923" w:type="dxa"/>
            <w:shd w:val="clear" w:color="auto" w:fill="auto"/>
          </w:tcPr>
          <w:p w:rsidR="00CF76BE" w:rsidRPr="00C42AF6" w:rsidRDefault="00C94813" w:rsidP="00F82891">
            <w:pPr>
              <w:jc w:val="center"/>
              <w:rPr>
                <w:rFonts w:ascii="Calibri" w:hAnsi="Calibri" w:cs="Arial"/>
                <w:b/>
                <w:sz w:val="22"/>
                <w:szCs w:val="22"/>
              </w:rPr>
            </w:pPr>
            <w:r w:rsidRPr="00F82891">
              <w:rPr>
                <w:rFonts w:ascii="Calibri" w:hAnsi="Calibri" w:cs="Arial"/>
                <w:b/>
                <w:sz w:val="22"/>
                <w:szCs w:val="22"/>
              </w:rPr>
              <w:t xml:space="preserve">X </w:t>
            </w:r>
          </w:p>
        </w:tc>
        <w:tc>
          <w:tcPr>
            <w:tcW w:w="922" w:type="dxa"/>
            <w:shd w:val="clear" w:color="auto" w:fill="auto"/>
          </w:tcPr>
          <w:p w:rsidR="00CF76BE" w:rsidRPr="00C42AF6" w:rsidRDefault="00CF76BE" w:rsidP="00123AE0">
            <w:pPr>
              <w:jc w:val="center"/>
              <w:rPr>
                <w:rFonts w:ascii="Calibri" w:hAnsi="Calibri" w:cs="Arial"/>
                <w:b/>
                <w:sz w:val="22"/>
                <w:szCs w:val="22"/>
              </w:rPr>
            </w:pPr>
          </w:p>
        </w:tc>
        <w:tc>
          <w:tcPr>
            <w:tcW w:w="923" w:type="dxa"/>
            <w:shd w:val="clear" w:color="auto" w:fill="auto"/>
          </w:tcPr>
          <w:p w:rsidR="00CF76BE" w:rsidRPr="00C42AF6" w:rsidRDefault="00CF76BE" w:rsidP="00123AE0">
            <w:pPr>
              <w:jc w:val="center"/>
              <w:rPr>
                <w:rFonts w:ascii="Calibri" w:hAnsi="Calibri" w:cs="Arial"/>
                <w:b/>
                <w:sz w:val="22"/>
                <w:szCs w:val="22"/>
              </w:rPr>
            </w:pPr>
          </w:p>
        </w:tc>
        <w:tc>
          <w:tcPr>
            <w:tcW w:w="1530" w:type="dxa"/>
            <w:shd w:val="clear" w:color="auto" w:fill="auto"/>
          </w:tcPr>
          <w:p w:rsidR="00CF76BE" w:rsidRPr="00C42AF6" w:rsidRDefault="00CF76BE" w:rsidP="00123AE0">
            <w:pPr>
              <w:jc w:val="center"/>
              <w:rPr>
                <w:rFonts w:ascii="Calibri" w:hAnsi="Calibri" w:cs="Arial"/>
                <w:b/>
                <w:sz w:val="22"/>
                <w:szCs w:val="22"/>
              </w:rPr>
            </w:pPr>
          </w:p>
        </w:tc>
      </w:tr>
      <w:tr w:rsidR="00CF76BE" w:rsidRPr="00C42AF6" w:rsidTr="00CF76BE">
        <w:trPr>
          <w:trHeight w:val="242"/>
        </w:trPr>
        <w:tc>
          <w:tcPr>
            <w:tcW w:w="4338" w:type="dxa"/>
            <w:shd w:val="clear" w:color="auto" w:fill="auto"/>
          </w:tcPr>
          <w:p w:rsidR="00CF76BE" w:rsidRPr="00C42AF6" w:rsidRDefault="00AE62E2" w:rsidP="00123AE0">
            <w:pPr>
              <w:rPr>
                <w:rFonts w:ascii="Calibri" w:hAnsi="Calibri" w:cs="Arial"/>
                <w:sz w:val="22"/>
                <w:szCs w:val="22"/>
              </w:rPr>
            </w:pPr>
            <w:proofErr w:type="spellStart"/>
            <w:r>
              <w:rPr>
                <w:rFonts w:ascii="Calibri" w:hAnsi="Calibri" w:cs="Arial"/>
                <w:sz w:val="22"/>
                <w:szCs w:val="22"/>
              </w:rPr>
              <w:t>Communique</w:t>
            </w:r>
            <w:proofErr w:type="spellEnd"/>
            <w:r>
              <w:rPr>
                <w:rFonts w:ascii="Calibri" w:hAnsi="Calibri" w:cs="Arial"/>
                <w:sz w:val="22"/>
                <w:szCs w:val="22"/>
              </w:rPr>
              <w:t xml:space="preserve"> on outcomes of the forum </w:t>
            </w:r>
          </w:p>
        </w:tc>
        <w:tc>
          <w:tcPr>
            <w:tcW w:w="922" w:type="dxa"/>
            <w:shd w:val="clear" w:color="auto" w:fill="auto"/>
          </w:tcPr>
          <w:p w:rsidR="00CF76BE" w:rsidRPr="00C42AF6" w:rsidRDefault="00CF76BE" w:rsidP="00123AE0">
            <w:pPr>
              <w:jc w:val="center"/>
              <w:rPr>
                <w:rFonts w:ascii="Calibri" w:hAnsi="Calibri" w:cs="Arial"/>
                <w:b/>
                <w:sz w:val="22"/>
                <w:szCs w:val="22"/>
              </w:rPr>
            </w:pPr>
          </w:p>
        </w:tc>
        <w:tc>
          <w:tcPr>
            <w:tcW w:w="923"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2" w:type="dxa"/>
            <w:shd w:val="clear" w:color="auto" w:fill="auto"/>
          </w:tcPr>
          <w:p w:rsidR="00CF76BE" w:rsidRPr="00C42AF6" w:rsidRDefault="00AE62E2" w:rsidP="00123AE0">
            <w:pPr>
              <w:jc w:val="center"/>
              <w:rPr>
                <w:rFonts w:ascii="Calibri" w:hAnsi="Calibri" w:cs="Arial"/>
                <w:b/>
                <w:sz w:val="22"/>
                <w:szCs w:val="22"/>
              </w:rPr>
            </w:pPr>
            <w:r>
              <w:rPr>
                <w:rFonts w:ascii="Calibri" w:hAnsi="Calibri" w:cs="Arial"/>
                <w:b/>
                <w:sz w:val="22"/>
                <w:szCs w:val="22"/>
              </w:rPr>
              <w:t>x</w:t>
            </w:r>
          </w:p>
        </w:tc>
        <w:tc>
          <w:tcPr>
            <w:tcW w:w="923"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1530" w:type="dxa"/>
            <w:shd w:val="clear" w:color="auto" w:fill="auto"/>
          </w:tcPr>
          <w:p w:rsidR="00CF76BE" w:rsidRPr="00C42AF6" w:rsidRDefault="00CF76BE" w:rsidP="00123AE0">
            <w:pPr>
              <w:jc w:val="center"/>
              <w:rPr>
                <w:rFonts w:ascii="Calibri" w:hAnsi="Calibri" w:cs="Arial"/>
                <w:b/>
                <w:sz w:val="22"/>
                <w:szCs w:val="22"/>
              </w:rPr>
            </w:pPr>
          </w:p>
        </w:tc>
      </w:tr>
      <w:tr w:rsidR="00AE62E2" w:rsidRPr="00C42AF6" w:rsidTr="00CF76BE">
        <w:trPr>
          <w:trHeight w:val="242"/>
        </w:trPr>
        <w:tc>
          <w:tcPr>
            <w:tcW w:w="4338" w:type="dxa"/>
            <w:shd w:val="clear" w:color="auto" w:fill="auto"/>
          </w:tcPr>
          <w:p w:rsidR="00AE62E2" w:rsidRPr="00C42AF6" w:rsidRDefault="00AE62E2" w:rsidP="00123AE0">
            <w:pPr>
              <w:rPr>
                <w:rFonts w:ascii="Calibri" w:hAnsi="Calibri" w:cs="Arial"/>
                <w:sz w:val="22"/>
                <w:szCs w:val="22"/>
              </w:rPr>
            </w:pPr>
          </w:p>
        </w:tc>
        <w:tc>
          <w:tcPr>
            <w:tcW w:w="922" w:type="dxa"/>
            <w:tcBorders>
              <w:bottom w:val="single" w:sz="4" w:space="0" w:color="auto"/>
            </w:tcBorders>
            <w:shd w:val="clear" w:color="auto" w:fill="auto"/>
          </w:tcPr>
          <w:p w:rsidR="00AE62E2" w:rsidRPr="00C42AF6" w:rsidRDefault="00AE62E2" w:rsidP="00123AE0">
            <w:pPr>
              <w:jc w:val="center"/>
              <w:rPr>
                <w:rFonts w:ascii="Calibri" w:hAnsi="Calibri" w:cs="Arial"/>
                <w:b/>
                <w:sz w:val="22"/>
                <w:szCs w:val="22"/>
              </w:rPr>
            </w:pPr>
          </w:p>
        </w:tc>
        <w:tc>
          <w:tcPr>
            <w:tcW w:w="923" w:type="dxa"/>
            <w:tcBorders>
              <w:bottom w:val="single" w:sz="4" w:space="0" w:color="auto"/>
            </w:tcBorders>
            <w:shd w:val="clear" w:color="auto" w:fill="auto"/>
          </w:tcPr>
          <w:p w:rsidR="00AE62E2" w:rsidRPr="00C42AF6" w:rsidRDefault="00AE62E2" w:rsidP="00123AE0">
            <w:pPr>
              <w:jc w:val="center"/>
              <w:rPr>
                <w:rFonts w:ascii="Calibri" w:hAnsi="Calibri" w:cs="Arial"/>
                <w:b/>
                <w:sz w:val="22"/>
                <w:szCs w:val="22"/>
              </w:rPr>
            </w:pPr>
          </w:p>
        </w:tc>
        <w:tc>
          <w:tcPr>
            <w:tcW w:w="922" w:type="dxa"/>
            <w:tcBorders>
              <w:bottom w:val="single" w:sz="4" w:space="0" w:color="auto"/>
            </w:tcBorders>
            <w:shd w:val="clear" w:color="auto" w:fill="auto"/>
          </w:tcPr>
          <w:p w:rsidR="00AE62E2" w:rsidRPr="00C42AF6" w:rsidRDefault="00AE62E2" w:rsidP="00123AE0">
            <w:pPr>
              <w:jc w:val="center"/>
              <w:rPr>
                <w:rFonts w:ascii="Calibri" w:hAnsi="Calibri" w:cs="Arial"/>
                <w:b/>
                <w:sz w:val="22"/>
                <w:szCs w:val="22"/>
              </w:rPr>
            </w:pPr>
          </w:p>
        </w:tc>
        <w:tc>
          <w:tcPr>
            <w:tcW w:w="923" w:type="dxa"/>
            <w:tcBorders>
              <w:bottom w:val="single" w:sz="4" w:space="0" w:color="auto"/>
            </w:tcBorders>
            <w:shd w:val="clear" w:color="auto" w:fill="auto"/>
          </w:tcPr>
          <w:p w:rsidR="00AE62E2" w:rsidRPr="00C42AF6" w:rsidRDefault="00AE62E2" w:rsidP="00123AE0">
            <w:pPr>
              <w:jc w:val="center"/>
              <w:rPr>
                <w:rFonts w:ascii="Calibri" w:hAnsi="Calibri" w:cs="Arial"/>
                <w:b/>
                <w:sz w:val="22"/>
                <w:szCs w:val="22"/>
              </w:rPr>
            </w:pPr>
          </w:p>
        </w:tc>
        <w:tc>
          <w:tcPr>
            <w:tcW w:w="1530" w:type="dxa"/>
            <w:tcBorders>
              <w:bottom w:val="single" w:sz="4" w:space="0" w:color="auto"/>
            </w:tcBorders>
            <w:shd w:val="clear" w:color="auto" w:fill="auto"/>
          </w:tcPr>
          <w:p w:rsidR="00AE62E2" w:rsidRPr="00C42AF6" w:rsidRDefault="00AE62E2" w:rsidP="00123AE0">
            <w:pPr>
              <w:jc w:val="center"/>
              <w:rPr>
                <w:rFonts w:ascii="Calibri" w:hAnsi="Calibri" w:cs="Arial"/>
                <w:b/>
                <w:sz w:val="22"/>
                <w:szCs w:val="22"/>
              </w:rPr>
            </w:pPr>
          </w:p>
        </w:tc>
      </w:tr>
      <w:tr w:rsidR="00AE62E2" w:rsidRPr="00C42AF6" w:rsidTr="00CF76BE">
        <w:trPr>
          <w:trHeight w:val="242"/>
        </w:trPr>
        <w:tc>
          <w:tcPr>
            <w:tcW w:w="4338" w:type="dxa"/>
            <w:shd w:val="clear" w:color="auto" w:fill="auto"/>
          </w:tcPr>
          <w:p w:rsidR="00AE62E2" w:rsidRPr="00AE62E2" w:rsidRDefault="00AE62E2" w:rsidP="00123AE0">
            <w:pPr>
              <w:rPr>
                <w:rFonts w:ascii="Calibri" w:hAnsi="Calibri" w:cs="Arial"/>
                <w:b/>
                <w:sz w:val="22"/>
                <w:szCs w:val="22"/>
              </w:rPr>
            </w:pPr>
            <w:r w:rsidRPr="00AE62E2">
              <w:rPr>
                <w:rFonts w:ascii="Calibri" w:hAnsi="Calibri" w:cs="Arial"/>
                <w:b/>
                <w:sz w:val="22"/>
                <w:szCs w:val="22"/>
              </w:rPr>
              <w:t xml:space="preserve">Component 4: </w:t>
            </w:r>
            <w:proofErr w:type="spellStart"/>
            <w:r w:rsidRPr="00AE62E2">
              <w:rPr>
                <w:rFonts w:ascii="Calibri" w:hAnsi="Calibri" w:cs="Arial"/>
                <w:b/>
                <w:sz w:val="22"/>
                <w:szCs w:val="22"/>
              </w:rPr>
              <w:t>Africities</w:t>
            </w:r>
            <w:proofErr w:type="spellEnd"/>
            <w:r w:rsidRPr="00AE62E2">
              <w:rPr>
                <w:rFonts w:ascii="Calibri" w:hAnsi="Calibri" w:cs="Arial"/>
                <w:b/>
                <w:sz w:val="22"/>
                <w:szCs w:val="22"/>
              </w:rPr>
              <w:t xml:space="preserve"> </w:t>
            </w:r>
          </w:p>
        </w:tc>
        <w:tc>
          <w:tcPr>
            <w:tcW w:w="922" w:type="dxa"/>
            <w:tcBorders>
              <w:bottom w:val="single" w:sz="4" w:space="0" w:color="auto"/>
            </w:tcBorders>
            <w:shd w:val="clear" w:color="auto" w:fill="auto"/>
          </w:tcPr>
          <w:p w:rsidR="00AE62E2" w:rsidRPr="00C42AF6" w:rsidRDefault="00AE62E2" w:rsidP="00123AE0">
            <w:pPr>
              <w:jc w:val="center"/>
              <w:rPr>
                <w:rFonts w:ascii="Calibri" w:hAnsi="Calibri" w:cs="Arial"/>
                <w:b/>
                <w:sz w:val="22"/>
                <w:szCs w:val="22"/>
              </w:rPr>
            </w:pPr>
          </w:p>
        </w:tc>
        <w:tc>
          <w:tcPr>
            <w:tcW w:w="923" w:type="dxa"/>
            <w:tcBorders>
              <w:bottom w:val="single" w:sz="4" w:space="0" w:color="auto"/>
            </w:tcBorders>
            <w:shd w:val="clear" w:color="auto" w:fill="auto"/>
          </w:tcPr>
          <w:p w:rsidR="00AE62E2" w:rsidRPr="00C42AF6" w:rsidRDefault="00AE62E2" w:rsidP="00123AE0">
            <w:pPr>
              <w:jc w:val="center"/>
              <w:rPr>
                <w:rFonts w:ascii="Calibri" w:hAnsi="Calibri" w:cs="Arial"/>
                <w:b/>
                <w:sz w:val="22"/>
                <w:szCs w:val="22"/>
              </w:rPr>
            </w:pPr>
          </w:p>
        </w:tc>
        <w:tc>
          <w:tcPr>
            <w:tcW w:w="922" w:type="dxa"/>
            <w:tcBorders>
              <w:bottom w:val="single" w:sz="4" w:space="0" w:color="auto"/>
            </w:tcBorders>
            <w:shd w:val="clear" w:color="auto" w:fill="auto"/>
          </w:tcPr>
          <w:p w:rsidR="00AE62E2" w:rsidRPr="00C42AF6" w:rsidRDefault="00AE62E2" w:rsidP="00123AE0">
            <w:pPr>
              <w:jc w:val="center"/>
              <w:rPr>
                <w:rFonts w:ascii="Calibri" w:hAnsi="Calibri" w:cs="Arial"/>
                <w:b/>
                <w:sz w:val="22"/>
                <w:szCs w:val="22"/>
              </w:rPr>
            </w:pPr>
          </w:p>
        </w:tc>
        <w:tc>
          <w:tcPr>
            <w:tcW w:w="923" w:type="dxa"/>
            <w:tcBorders>
              <w:bottom w:val="single" w:sz="4" w:space="0" w:color="auto"/>
            </w:tcBorders>
            <w:shd w:val="clear" w:color="auto" w:fill="auto"/>
          </w:tcPr>
          <w:p w:rsidR="00AE62E2" w:rsidRPr="00C42AF6" w:rsidRDefault="00AE62E2" w:rsidP="00123AE0">
            <w:pPr>
              <w:jc w:val="center"/>
              <w:rPr>
                <w:rFonts w:ascii="Calibri" w:hAnsi="Calibri" w:cs="Arial"/>
                <w:b/>
                <w:sz w:val="22"/>
                <w:szCs w:val="22"/>
              </w:rPr>
            </w:pPr>
          </w:p>
        </w:tc>
        <w:tc>
          <w:tcPr>
            <w:tcW w:w="1530" w:type="dxa"/>
            <w:tcBorders>
              <w:bottom w:val="single" w:sz="4" w:space="0" w:color="auto"/>
            </w:tcBorders>
            <w:shd w:val="clear" w:color="auto" w:fill="auto"/>
          </w:tcPr>
          <w:p w:rsidR="00AE62E2" w:rsidRPr="00C42AF6" w:rsidRDefault="00AE62E2" w:rsidP="00123AE0">
            <w:pPr>
              <w:jc w:val="center"/>
              <w:rPr>
                <w:rFonts w:ascii="Calibri" w:hAnsi="Calibri" w:cs="Arial"/>
                <w:b/>
                <w:sz w:val="22"/>
                <w:szCs w:val="22"/>
              </w:rPr>
            </w:pPr>
            <w:r>
              <w:rPr>
                <w:rFonts w:ascii="Calibri" w:hAnsi="Calibri" w:cs="Arial"/>
                <w:b/>
                <w:sz w:val="22"/>
                <w:szCs w:val="22"/>
              </w:rPr>
              <w:t>x</w:t>
            </w:r>
          </w:p>
        </w:tc>
      </w:tr>
      <w:tr w:rsidR="00CF76BE" w:rsidRPr="00C42AF6" w:rsidTr="00CF76BE">
        <w:trPr>
          <w:trHeight w:val="242"/>
        </w:trPr>
        <w:tc>
          <w:tcPr>
            <w:tcW w:w="4338" w:type="dxa"/>
            <w:shd w:val="clear" w:color="auto" w:fill="auto"/>
          </w:tcPr>
          <w:p w:rsidR="00CF76BE" w:rsidRPr="00C42AF6" w:rsidRDefault="00AE62E2" w:rsidP="00123AE0">
            <w:pPr>
              <w:rPr>
                <w:rFonts w:ascii="Calibri" w:hAnsi="Calibri" w:cs="Arial"/>
                <w:sz w:val="22"/>
                <w:szCs w:val="22"/>
              </w:rPr>
            </w:pPr>
            <w:r>
              <w:rPr>
                <w:rFonts w:ascii="Calibri" w:hAnsi="Calibri" w:cs="Arial"/>
                <w:sz w:val="22"/>
                <w:szCs w:val="22"/>
              </w:rPr>
              <w:t xml:space="preserve">Concept note for CA/UCLGA collaboration </w:t>
            </w:r>
          </w:p>
        </w:tc>
        <w:tc>
          <w:tcPr>
            <w:tcW w:w="922"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3" w:type="dxa"/>
            <w:tcBorders>
              <w:bottom w:val="single" w:sz="4" w:space="0" w:color="auto"/>
            </w:tcBorders>
            <w:shd w:val="clear" w:color="auto" w:fill="auto"/>
          </w:tcPr>
          <w:p w:rsidR="00CF76BE" w:rsidRPr="00C42AF6" w:rsidRDefault="00AE62E2" w:rsidP="00123AE0">
            <w:pPr>
              <w:jc w:val="center"/>
              <w:rPr>
                <w:rFonts w:ascii="Calibri" w:hAnsi="Calibri" w:cs="Arial"/>
                <w:b/>
                <w:sz w:val="22"/>
                <w:szCs w:val="22"/>
              </w:rPr>
            </w:pPr>
            <w:r>
              <w:rPr>
                <w:rFonts w:ascii="Calibri" w:hAnsi="Calibri" w:cs="Arial"/>
                <w:b/>
                <w:sz w:val="22"/>
                <w:szCs w:val="22"/>
              </w:rPr>
              <w:t>X</w:t>
            </w:r>
          </w:p>
        </w:tc>
        <w:tc>
          <w:tcPr>
            <w:tcW w:w="922"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923"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c>
          <w:tcPr>
            <w:tcW w:w="1530" w:type="dxa"/>
            <w:tcBorders>
              <w:bottom w:val="single" w:sz="4" w:space="0" w:color="auto"/>
            </w:tcBorders>
            <w:shd w:val="clear" w:color="auto" w:fill="auto"/>
          </w:tcPr>
          <w:p w:rsidR="00CF76BE" w:rsidRPr="00C42AF6" w:rsidRDefault="00CF76BE" w:rsidP="00123AE0">
            <w:pPr>
              <w:jc w:val="center"/>
              <w:rPr>
                <w:rFonts w:ascii="Calibri" w:hAnsi="Calibri" w:cs="Arial"/>
                <w:b/>
                <w:sz w:val="22"/>
                <w:szCs w:val="22"/>
              </w:rPr>
            </w:pPr>
          </w:p>
        </w:tc>
      </w:tr>
      <w:tr w:rsidR="00CF76BE" w:rsidRPr="00C42AF6" w:rsidTr="00CF76BE">
        <w:trPr>
          <w:trHeight w:val="242"/>
        </w:trPr>
        <w:tc>
          <w:tcPr>
            <w:tcW w:w="4338" w:type="dxa"/>
            <w:shd w:val="clear" w:color="auto" w:fill="auto"/>
          </w:tcPr>
          <w:p w:rsidR="00CF76BE" w:rsidRPr="00C42AF6" w:rsidRDefault="00AE62E2" w:rsidP="00123AE0">
            <w:pPr>
              <w:rPr>
                <w:rFonts w:ascii="Calibri" w:hAnsi="Calibri" w:cs="Arial"/>
                <w:sz w:val="22"/>
                <w:szCs w:val="22"/>
              </w:rPr>
            </w:pPr>
            <w:r>
              <w:rPr>
                <w:rFonts w:ascii="Calibri" w:hAnsi="Calibri" w:cs="Arial"/>
                <w:sz w:val="22"/>
                <w:szCs w:val="22"/>
              </w:rPr>
              <w:t xml:space="preserve">Develop communications materials, CA materials and booth preparation </w:t>
            </w:r>
          </w:p>
        </w:tc>
        <w:tc>
          <w:tcPr>
            <w:tcW w:w="922" w:type="dxa"/>
            <w:shd w:val="clear" w:color="auto" w:fill="auto"/>
          </w:tcPr>
          <w:p w:rsidR="00CF76BE" w:rsidRPr="00C42AF6" w:rsidRDefault="00CF76BE" w:rsidP="00123AE0">
            <w:pPr>
              <w:jc w:val="center"/>
              <w:rPr>
                <w:rFonts w:ascii="Calibri" w:hAnsi="Calibri" w:cs="Arial"/>
                <w:b/>
                <w:sz w:val="22"/>
                <w:szCs w:val="22"/>
              </w:rPr>
            </w:pPr>
          </w:p>
        </w:tc>
        <w:tc>
          <w:tcPr>
            <w:tcW w:w="923" w:type="dxa"/>
            <w:shd w:val="clear" w:color="auto" w:fill="auto"/>
          </w:tcPr>
          <w:p w:rsidR="00CF76BE" w:rsidRPr="00C42AF6" w:rsidRDefault="00CF76BE" w:rsidP="00123AE0">
            <w:pPr>
              <w:jc w:val="center"/>
              <w:rPr>
                <w:rFonts w:ascii="Calibri" w:hAnsi="Calibri" w:cs="Arial"/>
                <w:b/>
                <w:sz w:val="22"/>
                <w:szCs w:val="22"/>
              </w:rPr>
            </w:pPr>
          </w:p>
        </w:tc>
        <w:tc>
          <w:tcPr>
            <w:tcW w:w="922" w:type="dxa"/>
            <w:shd w:val="clear" w:color="auto" w:fill="auto"/>
          </w:tcPr>
          <w:p w:rsidR="00CF76BE" w:rsidRPr="00C42AF6" w:rsidRDefault="00AE62E2" w:rsidP="00123AE0">
            <w:pPr>
              <w:jc w:val="center"/>
              <w:rPr>
                <w:rFonts w:ascii="Calibri" w:hAnsi="Calibri" w:cs="Arial"/>
                <w:b/>
                <w:sz w:val="22"/>
                <w:szCs w:val="22"/>
              </w:rPr>
            </w:pPr>
            <w:r>
              <w:rPr>
                <w:rFonts w:ascii="Calibri" w:hAnsi="Calibri" w:cs="Arial"/>
                <w:b/>
                <w:sz w:val="22"/>
                <w:szCs w:val="22"/>
              </w:rPr>
              <w:t>X</w:t>
            </w:r>
          </w:p>
        </w:tc>
        <w:tc>
          <w:tcPr>
            <w:tcW w:w="923" w:type="dxa"/>
            <w:shd w:val="clear" w:color="auto" w:fill="auto"/>
          </w:tcPr>
          <w:p w:rsidR="00CF76BE" w:rsidRPr="00C42AF6" w:rsidRDefault="00CF76BE" w:rsidP="00123AE0">
            <w:pPr>
              <w:jc w:val="center"/>
              <w:rPr>
                <w:rFonts w:ascii="Calibri" w:hAnsi="Calibri" w:cs="Arial"/>
                <w:b/>
                <w:sz w:val="22"/>
                <w:szCs w:val="22"/>
              </w:rPr>
            </w:pPr>
          </w:p>
        </w:tc>
        <w:tc>
          <w:tcPr>
            <w:tcW w:w="1530" w:type="dxa"/>
            <w:shd w:val="clear" w:color="auto" w:fill="auto"/>
          </w:tcPr>
          <w:p w:rsidR="00CF76BE" w:rsidRPr="00C42AF6" w:rsidRDefault="00CF76BE" w:rsidP="00123AE0">
            <w:pPr>
              <w:jc w:val="center"/>
              <w:rPr>
                <w:rFonts w:ascii="Calibri" w:hAnsi="Calibri" w:cs="Arial"/>
                <w:b/>
                <w:sz w:val="22"/>
                <w:szCs w:val="22"/>
              </w:rPr>
            </w:pPr>
          </w:p>
        </w:tc>
      </w:tr>
    </w:tbl>
    <w:p w:rsidR="005E4AD3" w:rsidRPr="00C42AF6" w:rsidRDefault="005E4AD3">
      <w:pPr>
        <w:rPr>
          <w:rFonts w:ascii="Calibri" w:hAnsi="Calibri"/>
          <w:sz w:val="22"/>
          <w:szCs w:val="22"/>
        </w:rPr>
      </w:pPr>
    </w:p>
    <w:p w:rsidR="0088411D" w:rsidRPr="00C42AF6" w:rsidRDefault="00C12789" w:rsidP="00855420">
      <w:pPr>
        <w:spacing w:after="160"/>
        <w:jc w:val="both"/>
        <w:rPr>
          <w:rFonts w:ascii="Calibri" w:hAnsi="Calibri"/>
          <w:b/>
          <w:sz w:val="22"/>
          <w:szCs w:val="22"/>
        </w:rPr>
      </w:pPr>
      <w:r w:rsidRPr="00C42AF6">
        <w:rPr>
          <w:rFonts w:ascii="Calibri" w:hAnsi="Calibri"/>
          <w:b/>
          <w:sz w:val="22"/>
          <w:szCs w:val="22"/>
        </w:rPr>
        <w:br w:type="page"/>
      </w:r>
    </w:p>
    <w:p w:rsidR="00855420" w:rsidRPr="00C42AF6" w:rsidRDefault="00D51933" w:rsidP="00855420">
      <w:pPr>
        <w:spacing w:after="160"/>
        <w:jc w:val="both"/>
        <w:rPr>
          <w:rFonts w:ascii="Calibri" w:hAnsi="Calibri"/>
          <w:b/>
          <w:sz w:val="22"/>
          <w:szCs w:val="22"/>
        </w:rPr>
      </w:pPr>
      <w:r>
        <w:rPr>
          <w:rFonts w:ascii="Calibri" w:hAnsi="Calibri"/>
          <w:b/>
          <w:sz w:val="22"/>
          <w:szCs w:val="22"/>
          <w:u w:val="single"/>
        </w:rPr>
        <w:lastRenderedPageBreak/>
        <w:t>1</w:t>
      </w:r>
      <w:r w:rsidR="00CA7074">
        <w:rPr>
          <w:rFonts w:ascii="Calibri" w:hAnsi="Calibri"/>
          <w:b/>
          <w:sz w:val="22"/>
          <w:szCs w:val="22"/>
          <w:u w:val="single"/>
        </w:rPr>
        <w:t>4</w:t>
      </w:r>
      <w:r w:rsidR="00C42AF6" w:rsidRPr="00C42AF6">
        <w:rPr>
          <w:rFonts w:ascii="Calibri" w:hAnsi="Calibri"/>
          <w:b/>
          <w:sz w:val="22"/>
          <w:szCs w:val="22"/>
          <w:u w:val="single"/>
        </w:rPr>
        <w:t>.</w:t>
      </w:r>
      <w:r w:rsidR="00C12789" w:rsidRPr="00C42AF6">
        <w:rPr>
          <w:rFonts w:ascii="Calibri" w:hAnsi="Calibri"/>
          <w:b/>
          <w:sz w:val="22"/>
          <w:szCs w:val="22"/>
          <w:u w:val="single"/>
        </w:rPr>
        <w:t xml:space="preserve">) </w:t>
      </w:r>
      <w:r w:rsidR="003824E1" w:rsidRPr="00C42AF6">
        <w:rPr>
          <w:rFonts w:ascii="Calibri" w:hAnsi="Calibri"/>
          <w:b/>
          <w:sz w:val="22"/>
          <w:szCs w:val="22"/>
          <w:u w:val="single"/>
        </w:rPr>
        <w:t>CA Funding</w:t>
      </w:r>
      <w:r w:rsidR="00855420" w:rsidRPr="00C42AF6">
        <w:rPr>
          <w:rFonts w:ascii="Calibri" w:hAnsi="Calibri"/>
          <w:b/>
          <w:sz w:val="22"/>
          <w:szCs w:val="22"/>
          <w:u w:val="single"/>
        </w:rPr>
        <w:t xml:space="preserve"> </w:t>
      </w:r>
      <w:r w:rsidR="0088411D" w:rsidRPr="00C42AF6">
        <w:rPr>
          <w:rFonts w:ascii="Calibri" w:hAnsi="Calibri"/>
          <w:b/>
          <w:sz w:val="22"/>
          <w:szCs w:val="22"/>
          <w:u w:val="single"/>
        </w:rPr>
        <w:t>By Activity</w:t>
      </w:r>
      <w:r w:rsidR="00D1544F" w:rsidRPr="00C42AF6">
        <w:rPr>
          <w:rFonts w:ascii="Calibri" w:hAnsi="Calibri"/>
          <w:b/>
          <w:sz w:val="22"/>
          <w:szCs w:val="22"/>
        </w:rPr>
        <w:t xml:space="preserve"> </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9"/>
        <w:gridCol w:w="1064"/>
        <w:gridCol w:w="1589"/>
        <w:gridCol w:w="1170"/>
        <w:gridCol w:w="1591"/>
        <w:gridCol w:w="1393"/>
      </w:tblGrid>
      <w:tr w:rsidR="006D3289" w:rsidRPr="00C42AF6" w:rsidTr="00C12789">
        <w:trPr>
          <w:cantSplit/>
          <w:trHeight w:val="195"/>
          <w:jc w:val="center"/>
        </w:trPr>
        <w:tc>
          <w:tcPr>
            <w:tcW w:w="2999" w:type="dxa"/>
            <w:vMerge w:val="restart"/>
            <w:tcBorders>
              <w:right w:val="double" w:sz="4" w:space="0" w:color="auto"/>
            </w:tcBorders>
          </w:tcPr>
          <w:p w:rsidR="006D3289" w:rsidRPr="00C42AF6" w:rsidRDefault="006D3289" w:rsidP="00F517A9">
            <w:pPr>
              <w:ind w:firstLine="375"/>
              <w:jc w:val="center"/>
              <w:rPr>
                <w:rFonts w:ascii="Calibri" w:hAnsi="Calibri"/>
                <w:b/>
                <w:sz w:val="22"/>
                <w:szCs w:val="22"/>
              </w:rPr>
            </w:pPr>
          </w:p>
          <w:p w:rsidR="006D3289" w:rsidRPr="00C42AF6" w:rsidRDefault="00552E5B" w:rsidP="00F517A9">
            <w:pPr>
              <w:ind w:firstLine="375"/>
              <w:jc w:val="center"/>
              <w:rPr>
                <w:rFonts w:ascii="Calibri" w:hAnsi="Calibri"/>
                <w:b/>
                <w:sz w:val="22"/>
                <w:szCs w:val="22"/>
              </w:rPr>
            </w:pPr>
            <w:r w:rsidRPr="00C42AF6">
              <w:rPr>
                <w:rFonts w:ascii="Calibri" w:hAnsi="Calibri"/>
                <w:b/>
                <w:sz w:val="22"/>
                <w:szCs w:val="22"/>
              </w:rPr>
              <w:t>Project Activities and Tasks</w:t>
            </w:r>
          </w:p>
        </w:tc>
        <w:tc>
          <w:tcPr>
            <w:tcW w:w="1064" w:type="dxa"/>
            <w:vMerge w:val="restart"/>
            <w:tcBorders>
              <w:top w:val="double" w:sz="4" w:space="0" w:color="auto"/>
              <w:left w:val="double" w:sz="4" w:space="0" w:color="auto"/>
              <w:right w:val="double" w:sz="4" w:space="0" w:color="auto"/>
            </w:tcBorders>
          </w:tcPr>
          <w:p w:rsidR="006D3289" w:rsidRPr="00C42AF6" w:rsidRDefault="006D3289" w:rsidP="00552E5B">
            <w:pPr>
              <w:ind w:firstLine="375"/>
              <w:rPr>
                <w:rFonts w:ascii="Calibri" w:hAnsi="Calibri"/>
                <w:b/>
                <w:sz w:val="22"/>
                <w:szCs w:val="22"/>
              </w:rPr>
            </w:pPr>
          </w:p>
          <w:p w:rsidR="006D3289" w:rsidRPr="00C42AF6" w:rsidRDefault="006D3289" w:rsidP="00552E5B">
            <w:pPr>
              <w:rPr>
                <w:rFonts w:ascii="Calibri" w:hAnsi="Calibri"/>
                <w:b/>
                <w:sz w:val="22"/>
                <w:szCs w:val="22"/>
              </w:rPr>
            </w:pPr>
            <w:r w:rsidRPr="00C42AF6">
              <w:rPr>
                <w:rFonts w:ascii="Calibri" w:hAnsi="Calibri"/>
                <w:b/>
                <w:sz w:val="22"/>
                <w:szCs w:val="22"/>
              </w:rPr>
              <w:t xml:space="preserve">Total </w:t>
            </w:r>
          </w:p>
          <w:p w:rsidR="006D3289" w:rsidRPr="00C42AF6" w:rsidRDefault="006D3289" w:rsidP="00552E5B">
            <w:pPr>
              <w:rPr>
                <w:rFonts w:ascii="Calibri" w:hAnsi="Calibri"/>
                <w:b/>
                <w:sz w:val="22"/>
                <w:szCs w:val="22"/>
              </w:rPr>
            </w:pPr>
            <w:r w:rsidRPr="00C42AF6">
              <w:rPr>
                <w:rFonts w:ascii="Calibri" w:hAnsi="Calibri"/>
                <w:b/>
                <w:sz w:val="22"/>
                <w:szCs w:val="22"/>
              </w:rPr>
              <w:t>(US$)</w:t>
            </w:r>
          </w:p>
        </w:tc>
        <w:tc>
          <w:tcPr>
            <w:tcW w:w="5743" w:type="dxa"/>
            <w:gridSpan w:val="4"/>
            <w:tcBorders>
              <w:left w:val="double" w:sz="4" w:space="0" w:color="auto"/>
            </w:tcBorders>
          </w:tcPr>
          <w:p w:rsidR="006D3289" w:rsidRPr="00C42AF6" w:rsidRDefault="006D3289" w:rsidP="00552E5B">
            <w:pPr>
              <w:ind w:firstLine="375"/>
              <w:rPr>
                <w:rFonts w:ascii="Calibri" w:hAnsi="Calibri"/>
                <w:b/>
                <w:sz w:val="22"/>
                <w:szCs w:val="22"/>
              </w:rPr>
            </w:pPr>
            <w:r w:rsidRPr="00C42AF6">
              <w:rPr>
                <w:rFonts w:ascii="Calibri" w:hAnsi="Calibri"/>
                <w:b/>
                <w:sz w:val="22"/>
                <w:szCs w:val="22"/>
              </w:rPr>
              <w:t>Type of Expenditure</w:t>
            </w:r>
          </w:p>
        </w:tc>
      </w:tr>
      <w:tr w:rsidR="0088411D" w:rsidRPr="00C42AF6" w:rsidTr="00C12789">
        <w:trPr>
          <w:cantSplit/>
          <w:trHeight w:val="660"/>
          <w:jc w:val="center"/>
        </w:trPr>
        <w:tc>
          <w:tcPr>
            <w:tcW w:w="2999" w:type="dxa"/>
            <w:vMerge/>
            <w:tcBorders>
              <w:right w:val="double" w:sz="4" w:space="0" w:color="auto"/>
            </w:tcBorders>
          </w:tcPr>
          <w:p w:rsidR="0088411D" w:rsidRPr="00C42AF6" w:rsidRDefault="0088411D" w:rsidP="00F517A9">
            <w:pPr>
              <w:ind w:firstLine="375"/>
              <w:jc w:val="center"/>
              <w:rPr>
                <w:rFonts w:ascii="Calibri" w:hAnsi="Calibri"/>
                <w:b/>
                <w:sz w:val="22"/>
                <w:szCs w:val="22"/>
              </w:rPr>
            </w:pPr>
          </w:p>
        </w:tc>
        <w:tc>
          <w:tcPr>
            <w:tcW w:w="1064" w:type="dxa"/>
            <w:vMerge/>
            <w:tcBorders>
              <w:left w:val="double" w:sz="4" w:space="0" w:color="auto"/>
              <w:bottom w:val="single" w:sz="4" w:space="0" w:color="auto"/>
              <w:right w:val="double" w:sz="4" w:space="0" w:color="auto"/>
            </w:tcBorders>
          </w:tcPr>
          <w:p w:rsidR="0088411D" w:rsidRPr="00C42AF6" w:rsidRDefault="0088411D" w:rsidP="00552E5B">
            <w:pPr>
              <w:ind w:firstLine="375"/>
              <w:rPr>
                <w:rFonts w:ascii="Calibri" w:hAnsi="Calibri"/>
                <w:b/>
                <w:sz w:val="22"/>
                <w:szCs w:val="22"/>
              </w:rPr>
            </w:pPr>
          </w:p>
        </w:tc>
        <w:tc>
          <w:tcPr>
            <w:tcW w:w="1589" w:type="dxa"/>
            <w:tcBorders>
              <w:left w:val="double" w:sz="4" w:space="0" w:color="auto"/>
            </w:tcBorders>
          </w:tcPr>
          <w:p w:rsidR="0088411D" w:rsidRPr="00C42AF6" w:rsidRDefault="0088411D" w:rsidP="00552E5B">
            <w:pPr>
              <w:rPr>
                <w:rFonts w:ascii="Calibri" w:hAnsi="Calibri"/>
                <w:b/>
                <w:sz w:val="22"/>
                <w:szCs w:val="22"/>
              </w:rPr>
            </w:pPr>
            <w:r w:rsidRPr="00C42AF6">
              <w:rPr>
                <w:rFonts w:ascii="Calibri" w:hAnsi="Calibri"/>
                <w:b/>
                <w:sz w:val="22"/>
                <w:szCs w:val="22"/>
              </w:rPr>
              <w:t>Consulting Services</w:t>
            </w:r>
          </w:p>
          <w:p w:rsidR="0088411D" w:rsidRPr="00C42AF6" w:rsidRDefault="0088411D" w:rsidP="00552E5B">
            <w:pPr>
              <w:rPr>
                <w:rFonts w:ascii="Calibri" w:hAnsi="Calibri"/>
                <w:b/>
                <w:sz w:val="22"/>
                <w:szCs w:val="22"/>
              </w:rPr>
            </w:pPr>
            <w:r w:rsidRPr="00C42AF6">
              <w:rPr>
                <w:rFonts w:ascii="Calibri" w:hAnsi="Calibri"/>
                <w:b/>
                <w:sz w:val="22"/>
                <w:szCs w:val="22"/>
              </w:rPr>
              <w:t>(US$)</w:t>
            </w:r>
          </w:p>
        </w:tc>
        <w:tc>
          <w:tcPr>
            <w:tcW w:w="1170" w:type="dxa"/>
          </w:tcPr>
          <w:p w:rsidR="0088411D" w:rsidRPr="00C42AF6" w:rsidRDefault="0088411D" w:rsidP="00552E5B">
            <w:pPr>
              <w:rPr>
                <w:rFonts w:ascii="Calibri" w:hAnsi="Calibri"/>
                <w:b/>
                <w:sz w:val="22"/>
                <w:szCs w:val="22"/>
              </w:rPr>
            </w:pPr>
            <w:r w:rsidRPr="00C42AF6">
              <w:rPr>
                <w:rFonts w:ascii="Calibri" w:hAnsi="Calibri"/>
                <w:b/>
                <w:sz w:val="22"/>
                <w:szCs w:val="22"/>
              </w:rPr>
              <w:t xml:space="preserve">Training/ Capacity Building </w:t>
            </w:r>
          </w:p>
          <w:p w:rsidR="0088411D" w:rsidRPr="00C42AF6" w:rsidRDefault="0088411D" w:rsidP="00552E5B">
            <w:pPr>
              <w:rPr>
                <w:rFonts w:ascii="Calibri" w:hAnsi="Calibri"/>
                <w:b/>
                <w:sz w:val="22"/>
                <w:szCs w:val="22"/>
              </w:rPr>
            </w:pPr>
            <w:r w:rsidRPr="00C42AF6">
              <w:rPr>
                <w:rFonts w:ascii="Calibri" w:hAnsi="Calibri"/>
                <w:b/>
                <w:sz w:val="22"/>
                <w:szCs w:val="22"/>
              </w:rPr>
              <w:t>(US$)</w:t>
            </w:r>
          </w:p>
        </w:tc>
        <w:tc>
          <w:tcPr>
            <w:tcW w:w="1591" w:type="dxa"/>
          </w:tcPr>
          <w:p w:rsidR="0088411D" w:rsidRPr="00C42AF6" w:rsidRDefault="0088411D" w:rsidP="00552E5B">
            <w:pPr>
              <w:rPr>
                <w:rFonts w:ascii="Calibri" w:hAnsi="Calibri"/>
                <w:b/>
                <w:sz w:val="22"/>
                <w:szCs w:val="22"/>
              </w:rPr>
            </w:pPr>
            <w:r w:rsidRPr="00C42AF6">
              <w:rPr>
                <w:rFonts w:ascii="Calibri" w:hAnsi="Calibri"/>
                <w:b/>
                <w:sz w:val="22"/>
                <w:szCs w:val="22"/>
              </w:rPr>
              <w:t xml:space="preserve">Dissemination Costs </w:t>
            </w:r>
          </w:p>
          <w:p w:rsidR="0088411D" w:rsidRPr="00C42AF6" w:rsidRDefault="0088411D" w:rsidP="00552E5B">
            <w:pPr>
              <w:rPr>
                <w:rFonts w:ascii="Calibri" w:hAnsi="Calibri"/>
                <w:b/>
                <w:sz w:val="22"/>
                <w:szCs w:val="22"/>
              </w:rPr>
            </w:pPr>
            <w:r w:rsidRPr="00C42AF6">
              <w:rPr>
                <w:rFonts w:ascii="Calibri" w:hAnsi="Calibri"/>
                <w:b/>
                <w:sz w:val="22"/>
                <w:szCs w:val="22"/>
              </w:rPr>
              <w:t>(US$)</w:t>
            </w:r>
          </w:p>
        </w:tc>
        <w:tc>
          <w:tcPr>
            <w:tcW w:w="1393" w:type="dxa"/>
          </w:tcPr>
          <w:p w:rsidR="0088411D" w:rsidRPr="00C42AF6" w:rsidRDefault="0088411D" w:rsidP="00552E5B">
            <w:pPr>
              <w:rPr>
                <w:rFonts w:ascii="Calibri" w:hAnsi="Calibri"/>
                <w:b/>
                <w:sz w:val="22"/>
                <w:szCs w:val="22"/>
              </w:rPr>
            </w:pPr>
            <w:r w:rsidRPr="00C42AF6">
              <w:rPr>
                <w:rFonts w:ascii="Calibri" w:hAnsi="Calibri"/>
                <w:b/>
                <w:sz w:val="22"/>
                <w:szCs w:val="22"/>
              </w:rPr>
              <w:t>Other</w:t>
            </w:r>
          </w:p>
          <w:p w:rsidR="0088411D" w:rsidRPr="00C42AF6" w:rsidRDefault="0088411D" w:rsidP="00552E5B">
            <w:pPr>
              <w:rPr>
                <w:rFonts w:ascii="Calibri" w:hAnsi="Calibri"/>
                <w:b/>
                <w:sz w:val="22"/>
                <w:szCs w:val="22"/>
              </w:rPr>
            </w:pPr>
            <w:r w:rsidRPr="00C42AF6">
              <w:rPr>
                <w:rFonts w:ascii="Calibri" w:hAnsi="Calibri"/>
                <w:b/>
                <w:sz w:val="22"/>
                <w:szCs w:val="22"/>
              </w:rPr>
              <w:t>(US$)</w:t>
            </w:r>
          </w:p>
        </w:tc>
      </w:tr>
      <w:tr w:rsidR="0088411D" w:rsidRPr="00C42AF6" w:rsidTr="00C12789">
        <w:trPr>
          <w:jc w:val="center"/>
        </w:trPr>
        <w:tc>
          <w:tcPr>
            <w:tcW w:w="2999" w:type="dxa"/>
            <w:tcBorders>
              <w:right w:val="double" w:sz="4" w:space="0" w:color="auto"/>
            </w:tcBorders>
            <w:shd w:val="clear" w:color="auto" w:fill="C0C0C0"/>
          </w:tcPr>
          <w:p w:rsidR="0088411D" w:rsidRPr="00C42AF6" w:rsidRDefault="0088411D" w:rsidP="00855420">
            <w:pPr>
              <w:rPr>
                <w:rFonts w:ascii="Calibri" w:hAnsi="Calibri"/>
                <w:b/>
                <w:sz w:val="22"/>
                <w:szCs w:val="22"/>
              </w:rPr>
            </w:pPr>
          </w:p>
        </w:tc>
        <w:tc>
          <w:tcPr>
            <w:tcW w:w="1064" w:type="dxa"/>
            <w:tcBorders>
              <w:top w:val="single" w:sz="4" w:space="0" w:color="auto"/>
              <w:left w:val="double" w:sz="4" w:space="0" w:color="auto"/>
              <w:bottom w:val="single" w:sz="4" w:space="0" w:color="auto"/>
              <w:right w:val="double" w:sz="4" w:space="0" w:color="auto"/>
            </w:tcBorders>
            <w:shd w:val="clear" w:color="auto" w:fill="C0C0C0"/>
          </w:tcPr>
          <w:p w:rsidR="0088411D" w:rsidRPr="00C42AF6" w:rsidRDefault="0088411D" w:rsidP="00855420">
            <w:pPr>
              <w:rPr>
                <w:rFonts w:ascii="Calibri" w:hAnsi="Calibri"/>
                <w:b/>
                <w:sz w:val="22"/>
                <w:szCs w:val="22"/>
              </w:rPr>
            </w:pPr>
          </w:p>
        </w:tc>
        <w:tc>
          <w:tcPr>
            <w:tcW w:w="1589" w:type="dxa"/>
            <w:tcBorders>
              <w:left w:val="double" w:sz="4" w:space="0" w:color="auto"/>
            </w:tcBorders>
            <w:shd w:val="clear" w:color="auto" w:fill="C0C0C0"/>
          </w:tcPr>
          <w:p w:rsidR="0088411D" w:rsidRPr="00C42AF6" w:rsidRDefault="0088411D" w:rsidP="00855420">
            <w:pPr>
              <w:rPr>
                <w:rFonts w:ascii="Calibri" w:hAnsi="Calibri"/>
                <w:b/>
                <w:sz w:val="22"/>
                <w:szCs w:val="22"/>
              </w:rPr>
            </w:pPr>
          </w:p>
        </w:tc>
        <w:tc>
          <w:tcPr>
            <w:tcW w:w="1170" w:type="dxa"/>
            <w:shd w:val="clear" w:color="auto" w:fill="C0C0C0"/>
          </w:tcPr>
          <w:p w:rsidR="0088411D" w:rsidRPr="00C42AF6" w:rsidRDefault="0088411D" w:rsidP="00855420">
            <w:pPr>
              <w:rPr>
                <w:rFonts w:ascii="Calibri" w:hAnsi="Calibri"/>
                <w:b/>
                <w:sz w:val="22"/>
                <w:szCs w:val="22"/>
              </w:rPr>
            </w:pPr>
          </w:p>
        </w:tc>
        <w:tc>
          <w:tcPr>
            <w:tcW w:w="1591" w:type="dxa"/>
            <w:shd w:val="clear" w:color="auto" w:fill="C0C0C0"/>
          </w:tcPr>
          <w:p w:rsidR="0088411D" w:rsidRPr="00C42AF6" w:rsidRDefault="0088411D" w:rsidP="00855420">
            <w:pPr>
              <w:rPr>
                <w:rFonts w:ascii="Calibri" w:hAnsi="Calibri"/>
                <w:b/>
                <w:sz w:val="22"/>
                <w:szCs w:val="22"/>
              </w:rPr>
            </w:pPr>
          </w:p>
        </w:tc>
        <w:tc>
          <w:tcPr>
            <w:tcW w:w="1393" w:type="dxa"/>
            <w:shd w:val="clear" w:color="auto" w:fill="C0C0C0"/>
          </w:tcPr>
          <w:p w:rsidR="0088411D" w:rsidRPr="00C42AF6" w:rsidRDefault="0088411D" w:rsidP="00855420">
            <w:pPr>
              <w:rPr>
                <w:rFonts w:ascii="Calibri" w:hAnsi="Calibri"/>
                <w:b/>
                <w:sz w:val="22"/>
                <w:szCs w:val="22"/>
              </w:rPr>
            </w:pPr>
          </w:p>
        </w:tc>
      </w:tr>
      <w:tr w:rsidR="00FB7B43" w:rsidRPr="00C42AF6" w:rsidTr="0057799D">
        <w:trPr>
          <w:jc w:val="center"/>
        </w:trPr>
        <w:tc>
          <w:tcPr>
            <w:tcW w:w="2999" w:type="dxa"/>
            <w:tcBorders>
              <w:right w:val="double" w:sz="4" w:space="0" w:color="auto"/>
            </w:tcBorders>
            <w:shd w:val="clear" w:color="auto" w:fill="C0C0C0"/>
          </w:tcPr>
          <w:p w:rsidR="00FB7B43" w:rsidRPr="00C42AF6" w:rsidRDefault="00FB7B43" w:rsidP="0057799D">
            <w:pPr>
              <w:rPr>
                <w:rFonts w:ascii="Calibri" w:hAnsi="Calibri"/>
                <w:b/>
                <w:sz w:val="22"/>
                <w:szCs w:val="22"/>
              </w:rPr>
            </w:pPr>
            <w:r>
              <w:rPr>
                <w:rFonts w:ascii="Calibri" w:hAnsi="Calibri"/>
                <w:b/>
                <w:sz w:val="22"/>
                <w:szCs w:val="22"/>
              </w:rPr>
              <w:t>PROPOSED BUDGET -CA</w:t>
            </w:r>
          </w:p>
        </w:tc>
        <w:tc>
          <w:tcPr>
            <w:tcW w:w="1064" w:type="dxa"/>
            <w:tcBorders>
              <w:top w:val="single" w:sz="4" w:space="0" w:color="auto"/>
              <w:left w:val="double" w:sz="4" w:space="0" w:color="auto"/>
              <w:bottom w:val="single" w:sz="4" w:space="0" w:color="auto"/>
              <w:right w:val="double" w:sz="4" w:space="0" w:color="auto"/>
            </w:tcBorders>
            <w:shd w:val="clear" w:color="auto" w:fill="C0C0C0"/>
          </w:tcPr>
          <w:p w:rsidR="00FB7B43" w:rsidRPr="00C42AF6" w:rsidRDefault="00FB7B43" w:rsidP="0057799D">
            <w:pPr>
              <w:rPr>
                <w:rFonts w:ascii="Calibri" w:hAnsi="Calibri"/>
                <w:b/>
                <w:sz w:val="22"/>
                <w:szCs w:val="22"/>
              </w:rPr>
            </w:pPr>
          </w:p>
        </w:tc>
        <w:tc>
          <w:tcPr>
            <w:tcW w:w="1589" w:type="dxa"/>
            <w:tcBorders>
              <w:left w:val="double" w:sz="4" w:space="0" w:color="auto"/>
            </w:tcBorders>
            <w:shd w:val="clear" w:color="auto" w:fill="C0C0C0"/>
          </w:tcPr>
          <w:p w:rsidR="00FB7B43" w:rsidRPr="00C42AF6" w:rsidRDefault="00FB7B43" w:rsidP="0057799D">
            <w:pPr>
              <w:rPr>
                <w:rFonts w:ascii="Calibri" w:hAnsi="Calibri"/>
                <w:b/>
                <w:sz w:val="22"/>
                <w:szCs w:val="22"/>
              </w:rPr>
            </w:pPr>
          </w:p>
        </w:tc>
        <w:tc>
          <w:tcPr>
            <w:tcW w:w="1170" w:type="dxa"/>
            <w:shd w:val="clear" w:color="auto" w:fill="C0C0C0"/>
          </w:tcPr>
          <w:p w:rsidR="00FB7B43" w:rsidRPr="00C42AF6" w:rsidRDefault="00FB7B43" w:rsidP="0057799D">
            <w:pPr>
              <w:rPr>
                <w:rFonts w:ascii="Calibri" w:hAnsi="Calibri"/>
                <w:b/>
                <w:sz w:val="22"/>
                <w:szCs w:val="22"/>
              </w:rPr>
            </w:pPr>
          </w:p>
        </w:tc>
        <w:tc>
          <w:tcPr>
            <w:tcW w:w="1591" w:type="dxa"/>
            <w:shd w:val="clear" w:color="auto" w:fill="C0C0C0"/>
          </w:tcPr>
          <w:p w:rsidR="00FB7B43" w:rsidRPr="00C42AF6" w:rsidRDefault="00FB7B43" w:rsidP="0057799D">
            <w:pPr>
              <w:rPr>
                <w:rFonts w:ascii="Calibri" w:hAnsi="Calibri"/>
                <w:b/>
                <w:sz w:val="22"/>
                <w:szCs w:val="22"/>
              </w:rPr>
            </w:pPr>
          </w:p>
        </w:tc>
        <w:tc>
          <w:tcPr>
            <w:tcW w:w="1393" w:type="dxa"/>
            <w:shd w:val="clear" w:color="auto" w:fill="C0C0C0"/>
          </w:tcPr>
          <w:p w:rsidR="00FB7B43" w:rsidRPr="00C42AF6" w:rsidRDefault="00FB7B43" w:rsidP="0057799D">
            <w:pPr>
              <w:rPr>
                <w:rFonts w:ascii="Calibri" w:hAnsi="Calibri"/>
                <w:b/>
                <w:sz w:val="22"/>
                <w:szCs w:val="22"/>
              </w:rPr>
            </w:pPr>
          </w:p>
        </w:tc>
      </w:tr>
      <w:tr w:rsidR="0088411D" w:rsidRPr="00C42AF6" w:rsidTr="00C12789">
        <w:trPr>
          <w:jc w:val="center"/>
        </w:trPr>
        <w:tc>
          <w:tcPr>
            <w:tcW w:w="2999" w:type="dxa"/>
            <w:tcBorders>
              <w:right w:val="double" w:sz="4" w:space="0" w:color="auto"/>
            </w:tcBorders>
            <w:vAlign w:val="center"/>
          </w:tcPr>
          <w:p w:rsidR="0088411D" w:rsidRPr="00C42AF6" w:rsidRDefault="00DE02B1" w:rsidP="0034797D">
            <w:pPr>
              <w:rPr>
                <w:rFonts w:ascii="Calibri" w:hAnsi="Calibri"/>
                <w:sz w:val="22"/>
                <w:szCs w:val="22"/>
              </w:rPr>
            </w:pPr>
            <w:r>
              <w:rPr>
                <w:rFonts w:ascii="Calibri" w:hAnsi="Calibri"/>
                <w:sz w:val="22"/>
                <w:szCs w:val="22"/>
              </w:rPr>
              <w:t xml:space="preserve">Component 1: </w:t>
            </w:r>
            <w:r w:rsidR="0034797D" w:rsidRPr="0034797D">
              <w:rPr>
                <w:rFonts w:ascii="Calibri" w:hAnsi="Calibri"/>
                <w:sz w:val="22"/>
                <w:szCs w:val="22"/>
              </w:rPr>
              <w:t>City Enabling Environment (CEE) Rating System</w:t>
            </w:r>
            <w:r w:rsidR="0034797D">
              <w:rPr>
                <w:rFonts w:ascii="Calibri" w:hAnsi="Calibri"/>
                <w:sz w:val="22"/>
                <w:szCs w:val="22"/>
              </w:rPr>
              <w:t xml:space="preserve">: Publication, communications material and map for launch at </w:t>
            </w:r>
            <w:proofErr w:type="spellStart"/>
            <w:r w:rsidR="0034797D">
              <w:rPr>
                <w:rFonts w:ascii="Calibri" w:hAnsi="Calibri"/>
                <w:sz w:val="22"/>
                <w:szCs w:val="22"/>
              </w:rPr>
              <w:t>Africities</w:t>
            </w:r>
            <w:proofErr w:type="spellEnd"/>
            <w:r w:rsidR="0034797D">
              <w:rPr>
                <w:rFonts w:ascii="Calibri" w:hAnsi="Calibri"/>
                <w:sz w:val="22"/>
                <w:szCs w:val="22"/>
              </w:rPr>
              <w:t xml:space="preserve"> </w:t>
            </w:r>
          </w:p>
        </w:tc>
        <w:tc>
          <w:tcPr>
            <w:tcW w:w="1064" w:type="dxa"/>
            <w:tcBorders>
              <w:top w:val="single" w:sz="4" w:space="0" w:color="auto"/>
              <w:left w:val="double" w:sz="4" w:space="0" w:color="auto"/>
              <w:bottom w:val="single" w:sz="4" w:space="0" w:color="auto"/>
              <w:right w:val="double" w:sz="4" w:space="0" w:color="auto"/>
            </w:tcBorders>
            <w:vAlign w:val="center"/>
          </w:tcPr>
          <w:p w:rsidR="0088411D" w:rsidRPr="00C42AF6" w:rsidRDefault="00FF2AFE" w:rsidP="00855420">
            <w:pPr>
              <w:jc w:val="right"/>
              <w:rPr>
                <w:rFonts w:ascii="Calibri" w:hAnsi="Calibri"/>
                <w:sz w:val="22"/>
                <w:szCs w:val="22"/>
              </w:rPr>
            </w:pPr>
            <w:r>
              <w:rPr>
                <w:rFonts w:ascii="Calibri" w:hAnsi="Calibri"/>
                <w:sz w:val="22"/>
                <w:szCs w:val="22"/>
              </w:rPr>
              <w:t>11,000</w:t>
            </w:r>
          </w:p>
        </w:tc>
        <w:tc>
          <w:tcPr>
            <w:tcW w:w="1589" w:type="dxa"/>
            <w:tcBorders>
              <w:left w:val="double" w:sz="4" w:space="0" w:color="auto"/>
            </w:tcBorders>
            <w:vAlign w:val="center"/>
          </w:tcPr>
          <w:p w:rsidR="0088411D" w:rsidRPr="00C42AF6" w:rsidRDefault="00280C3B" w:rsidP="00855420">
            <w:pPr>
              <w:jc w:val="right"/>
              <w:rPr>
                <w:rFonts w:ascii="Calibri" w:hAnsi="Calibri"/>
                <w:sz w:val="22"/>
                <w:szCs w:val="22"/>
              </w:rPr>
            </w:pPr>
            <w:r>
              <w:rPr>
                <w:rFonts w:ascii="Calibri" w:hAnsi="Calibri"/>
                <w:sz w:val="22"/>
                <w:szCs w:val="22"/>
              </w:rPr>
              <w:t>3,000</w:t>
            </w:r>
          </w:p>
        </w:tc>
        <w:tc>
          <w:tcPr>
            <w:tcW w:w="1170" w:type="dxa"/>
            <w:vAlign w:val="center"/>
          </w:tcPr>
          <w:p w:rsidR="0088411D" w:rsidRPr="00C42AF6" w:rsidRDefault="0088411D" w:rsidP="00855420">
            <w:pPr>
              <w:jc w:val="right"/>
              <w:rPr>
                <w:rFonts w:ascii="Calibri" w:hAnsi="Calibri"/>
                <w:sz w:val="22"/>
                <w:szCs w:val="22"/>
              </w:rPr>
            </w:pPr>
          </w:p>
        </w:tc>
        <w:tc>
          <w:tcPr>
            <w:tcW w:w="1591" w:type="dxa"/>
            <w:vAlign w:val="center"/>
          </w:tcPr>
          <w:p w:rsidR="0088411D" w:rsidRPr="00C42AF6" w:rsidRDefault="00280C3B" w:rsidP="00855420">
            <w:pPr>
              <w:jc w:val="right"/>
              <w:rPr>
                <w:rFonts w:ascii="Calibri" w:hAnsi="Calibri"/>
                <w:sz w:val="22"/>
                <w:szCs w:val="22"/>
              </w:rPr>
            </w:pPr>
            <w:r>
              <w:rPr>
                <w:rFonts w:ascii="Calibri" w:hAnsi="Calibri"/>
                <w:sz w:val="22"/>
                <w:szCs w:val="22"/>
              </w:rPr>
              <w:t>8,000</w:t>
            </w:r>
          </w:p>
        </w:tc>
        <w:tc>
          <w:tcPr>
            <w:tcW w:w="1393" w:type="dxa"/>
            <w:vAlign w:val="center"/>
          </w:tcPr>
          <w:p w:rsidR="0088411D" w:rsidRPr="00C42AF6" w:rsidRDefault="0088411D" w:rsidP="00855420">
            <w:pPr>
              <w:jc w:val="right"/>
              <w:rPr>
                <w:rFonts w:ascii="Calibri" w:hAnsi="Calibri"/>
                <w:sz w:val="22"/>
                <w:szCs w:val="22"/>
              </w:rPr>
            </w:pPr>
          </w:p>
        </w:tc>
      </w:tr>
      <w:tr w:rsidR="0088411D" w:rsidRPr="00C42AF6" w:rsidTr="00C12789">
        <w:trPr>
          <w:jc w:val="center"/>
        </w:trPr>
        <w:tc>
          <w:tcPr>
            <w:tcW w:w="2999" w:type="dxa"/>
            <w:tcBorders>
              <w:right w:val="double" w:sz="4" w:space="0" w:color="auto"/>
            </w:tcBorders>
            <w:vAlign w:val="bottom"/>
          </w:tcPr>
          <w:p w:rsidR="0088411D" w:rsidRPr="00C42AF6" w:rsidRDefault="0088411D" w:rsidP="00CD605F">
            <w:pPr>
              <w:rPr>
                <w:rFonts w:ascii="Calibri" w:hAnsi="Calibri"/>
                <w:sz w:val="22"/>
                <w:szCs w:val="22"/>
              </w:rPr>
            </w:pPr>
          </w:p>
        </w:tc>
        <w:tc>
          <w:tcPr>
            <w:tcW w:w="1064" w:type="dxa"/>
            <w:tcBorders>
              <w:top w:val="single" w:sz="4" w:space="0" w:color="auto"/>
              <w:left w:val="double" w:sz="4" w:space="0" w:color="auto"/>
              <w:bottom w:val="single" w:sz="4" w:space="0" w:color="auto"/>
              <w:right w:val="double" w:sz="4" w:space="0" w:color="auto"/>
            </w:tcBorders>
            <w:vAlign w:val="center"/>
          </w:tcPr>
          <w:p w:rsidR="0088411D" w:rsidRPr="00C42AF6" w:rsidRDefault="0088411D" w:rsidP="00184801">
            <w:pPr>
              <w:jc w:val="right"/>
              <w:rPr>
                <w:rFonts w:ascii="Calibri" w:hAnsi="Calibri"/>
                <w:sz w:val="22"/>
                <w:szCs w:val="22"/>
              </w:rPr>
            </w:pPr>
          </w:p>
        </w:tc>
        <w:tc>
          <w:tcPr>
            <w:tcW w:w="1589" w:type="dxa"/>
            <w:tcBorders>
              <w:left w:val="double" w:sz="4" w:space="0" w:color="auto"/>
            </w:tcBorders>
            <w:vAlign w:val="center"/>
          </w:tcPr>
          <w:p w:rsidR="0088411D" w:rsidRPr="00C42AF6" w:rsidRDefault="0088411D" w:rsidP="00855420">
            <w:pPr>
              <w:jc w:val="right"/>
              <w:rPr>
                <w:rFonts w:ascii="Calibri" w:hAnsi="Calibri"/>
                <w:sz w:val="22"/>
                <w:szCs w:val="22"/>
              </w:rPr>
            </w:pPr>
          </w:p>
        </w:tc>
        <w:tc>
          <w:tcPr>
            <w:tcW w:w="1170" w:type="dxa"/>
            <w:vAlign w:val="center"/>
          </w:tcPr>
          <w:p w:rsidR="0088411D" w:rsidRPr="00C42AF6" w:rsidRDefault="0088411D" w:rsidP="00855420">
            <w:pPr>
              <w:jc w:val="right"/>
              <w:rPr>
                <w:rFonts w:ascii="Calibri" w:hAnsi="Calibri"/>
                <w:sz w:val="22"/>
                <w:szCs w:val="22"/>
              </w:rPr>
            </w:pPr>
          </w:p>
        </w:tc>
        <w:tc>
          <w:tcPr>
            <w:tcW w:w="1591" w:type="dxa"/>
            <w:vAlign w:val="center"/>
          </w:tcPr>
          <w:p w:rsidR="0088411D" w:rsidRPr="00C42AF6" w:rsidRDefault="0088411D" w:rsidP="00855420">
            <w:pPr>
              <w:jc w:val="right"/>
              <w:rPr>
                <w:rFonts w:ascii="Calibri" w:hAnsi="Calibri"/>
                <w:sz w:val="22"/>
                <w:szCs w:val="22"/>
              </w:rPr>
            </w:pPr>
          </w:p>
        </w:tc>
        <w:tc>
          <w:tcPr>
            <w:tcW w:w="1393" w:type="dxa"/>
            <w:vAlign w:val="center"/>
          </w:tcPr>
          <w:p w:rsidR="0088411D" w:rsidRPr="00C42AF6" w:rsidRDefault="0088411D" w:rsidP="00855420">
            <w:pPr>
              <w:jc w:val="right"/>
              <w:rPr>
                <w:rFonts w:ascii="Calibri" w:hAnsi="Calibri"/>
                <w:sz w:val="22"/>
                <w:szCs w:val="22"/>
              </w:rPr>
            </w:pPr>
          </w:p>
        </w:tc>
      </w:tr>
      <w:tr w:rsidR="0088411D" w:rsidRPr="00C42AF6" w:rsidTr="00C12789">
        <w:trPr>
          <w:trHeight w:val="332"/>
          <w:jc w:val="center"/>
        </w:trPr>
        <w:tc>
          <w:tcPr>
            <w:tcW w:w="2999" w:type="dxa"/>
            <w:tcBorders>
              <w:right w:val="double" w:sz="4" w:space="0" w:color="auto"/>
            </w:tcBorders>
            <w:vAlign w:val="center"/>
          </w:tcPr>
          <w:p w:rsidR="0088411D" w:rsidRPr="00C42AF6" w:rsidRDefault="00DE02B1" w:rsidP="00FB7B43">
            <w:pPr>
              <w:rPr>
                <w:rFonts w:ascii="Calibri" w:hAnsi="Calibri"/>
                <w:sz w:val="22"/>
                <w:szCs w:val="22"/>
              </w:rPr>
            </w:pPr>
            <w:r>
              <w:rPr>
                <w:rFonts w:ascii="Calibri" w:hAnsi="Calibri"/>
                <w:sz w:val="22"/>
                <w:szCs w:val="22"/>
              </w:rPr>
              <w:t xml:space="preserve">Component 2: </w:t>
            </w:r>
            <w:r w:rsidR="004603A5">
              <w:rPr>
                <w:rFonts w:ascii="Calibri" w:hAnsi="Calibri"/>
                <w:sz w:val="22"/>
                <w:szCs w:val="22"/>
              </w:rPr>
              <w:t xml:space="preserve">Knowledge Management </w:t>
            </w:r>
            <w:r w:rsidR="00FB7B43">
              <w:rPr>
                <w:rFonts w:ascii="Calibri" w:hAnsi="Calibri"/>
                <w:sz w:val="22"/>
                <w:szCs w:val="22"/>
              </w:rPr>
              <w:t>capacity development</w:t>
            </w:r>
          </w:p>
        </w:tc>
        <w:tc>
          <w:tcPr>
            <w:tcW w:w="1064" w:type="dxa"/>
            <w:tcBorders>
              <w:top w:val="single" w:sz="4" w:space="0" w:color="auto"/>
              <w:left w:val="double" w:sz="4" w:space="0" w:color="auto"/>
              <w:bottom w:val="single" w:sz="4" w:space="0" w:color="auto"/>
              <w:right w:val="double" w:sz="4" w:space="0" w:color="auto"/>
            </w:tcBorders>
            <w:vAlign w:val="center"/>
          </w:tcPr>
          <w:p w:rsidR="0088411D" w:rsidRPr="00C42AF6" w:rsidRDefault="00F43C9F" w:rsidP="00184801">
            <w:pPr>
              <w:jc w:val="right"/>
              <w:rPr>
                <w:rFonts w:ascii="Calibri" w:hAnsi="Calibri"/>
                <w:sz w:val="22"/>
                <w:szCs w:val="22"/>
              </w:rPr>
            </w:pPr>
            <w:r>
              <w:rPr>
                <w:rFonts w:ascii="Calibri" w:hAnsi="Calibri"/>
                <w:sz w:val="22"/>
                <w:szCs w:val="22"/>
              </w:rPr>
              <w:t>15</w:t>
            </w:r>
            <w:r w:rsidR="00FF2AFE">
              <w:rPr>
                <w:rFonts w:ascii="Calibri" w:hAnsi="Calibri"/>
                <w:sz w:val="22"/>
                <w:szCs w:val="22"/>
              </w:rPr>
              <w:t>0,000</w:t>
            </w:r>
          </w:p>
        </w:tc>
        <w:tc>
          <w:tcPr>
            <w:tcW w:w="1589" w:type="dxa"/>
            <w:tcBorders>
              <w:left w:val="double" w:sz="4" w:space="0" w:color="auto"/>
            </w:tcBorders>
            <w:vAlign w:val="center"/>
          </w:tcPr>
          <w:p w:rsidR="0088411D" w:rsidRPr="00C42AF6" w:rsidRDefault="00FF2AFE" w:rsidP="00855420">
            <w:pPr>
              <w:jc w:val="right"/>
              <w:rPr>
                <w:rFonts w:ascii="Calibri" w:hAnsi="Calibri"/>
                <w:sz w:val="22"/>
                <w:szCs w:val="22"/>
              </w:rPr>
            </w:pPr>
            <w:r>
              <w:rPr>
                <w:rFonts w:ascii="Calibri" w:hAnsi="Calibri"/>
                <w:sz w:val="22"/>
                <w:szCs w:val="22"/>
              </w:rPr>
              <w:t>100,000</w:t>
            </w:r>
          </w:p>
        </w:tc>
        <w:tc>
          <w:tcPr>
            <w:tcW w:w="1170" w:type="dxa"/>
            <w:vAlign w:val="center"/>
          </w:tcPr>
          <w:p w:rsidR="0088411D" w:rsidRPr="00C42AF6" w:rsidRDefault="0088411D" w:rsidP="00855420">
            <w:pPr>
              <w:jc w:val="right"/>
              <w:rPr>
                <w:rFonts w:ascii="Calibri" w:hAnsi="Calibri"/>
                <w:sz w:val="22"/>
                <w:szCs w:val="22"/>
              </w:rPr>
            </w:pPr>
          </w:p>
        </w:tc>
        <w:tc>
          <w:tcPr>
            <w:tcW w:w="1591" w:type="dxa"/>
            <w:vAlign w:val="center"/>
          </w:tcPr>
          <w:p w:rsidR="0088411D" w:rsidRPr="00C42AF6" w:rsidRDefault="00F43C9F" w:rsidP="00855420">
            <w:pPr>
              <w:jc w:val="right"/>
              <w:rPr>
                <w:rFonts w:ascii="Calibri" w:hAnsi="Calibri"/>
                <w:sz w:val="22"/>
                <w:szCs w:val="22"/>
              </w:rPr>
            </w:pPr>
            <w:r>
              <w:rPr>
                <w:rFonts w:ascii="Calibri" w:hAnsi="Calibri"/>
                <w:sz w:val="22"/>
                <w:szCs w:val="22"/>
              </w:rPr>
              <w:t>30,000</w:t>
            </w:r>
          </w:p>
        </w:tc>
        <w:tc>
          <w:tcPr>
            <w:tcW w:w="1393" w:type="dxa"/>
            <w:vAlign w:val="center"/>
          </w:tcPr>
          <w:p w:rsidR="0088411D" w:rsidRPr="00C42AF6" w:rsidRDefault="00FF2AFE" w:rsidP="00855420">
            <w:pPr>
              <w:jc w:val="right"/>
              <w:rPr>
                <w:rFonts w:ascii="Calibri" w:hAnsi="Calibri"/>
                <w:sz w:val="22"/>
                <w:szCs w:val="22"/>
              </w:rPr>
            </w:pPr>
            <w:r>
              <w:rPr>
                <w:rFonts w:ascii="Calibri" w:hAnsi="Calibri"/>
                <w:sz w:val="22"/>
                <w:szCs w:val="22"/>
              </w:rPr>
              <w:t>20,000</w:t>
            </w:r>
          </w:p>
        </w:tc>
      </w:tr>
      <w:tr w:rsidR="00E5231B" w:rsidRPr="00C42AF6" w:rsidDel="00FF2AFE" w:rsidTr="00C12789">
        <w:trPr>
          <w:trHeight w:val="332"/>
          <w:jc w:val="center"/>
        </w:trPr>
        <w:tc>
          <w:tcPr>
            <w:tcW w:w="2999" w:type="dxa"/>
            <w:tcBorders>
              <w:right w:val="double" w:sz="4" w:space="0" w:color="auto"/>
            </w:tcBorders>
            <w:vAlign w:val="center"/>
          </w:tcPr>
          <w:p w:rsidR="00E5231B" w:rsidRPr="00E540FA" w:rsidDel="00FF2AFE" w:rsidRDefault="00E5231B" w:rsidP="0051688C">
            <w:pPr>
              <w:rPr>
                <w:rFonts w:ascii="Calibri" w:hAnsi="Calibri"/>
                <w:sz w:val="22"/>
                <w:szCs w:val="22"/>
              </w:rPr>
            </w:pPr>
            <w:r>
              <w:rPr>
                <w:rFonts w:ascii="Calibri" w:hAnsi="Calibri"/>
                <w:sz w:val="22"/>
                <w:szCs w:val="22"/>
              </w:rPr>
              <w:t>Component 2: Building Contact database</w:t>
            </w:r>
          </w:p>
        </w:tc>
        <w:tc>
          <w:tcPr>
            <w:tcW w:w="1064" w:type="dxa"/>
            <w:tcBorders>
              <w:top w:val="single" w:sz="4" w:space="0" w:color="auto"/>
              <w:left w:val="double" w:sz="4" w:space="0" w:color="auto"/>
              <w:bottom w:val="single" w:sz="4" w:space="0" w:color="auto"/>
              <w:right w:val="double" w:sz="4" w:space="0" w:color="auto"/>
            </w:tcBorders>
            <w:vAlign w:val="center"/>
          </w:tcPr>
          <w:p w:rsidR="00E5231B" w:rsidRPr="00C42AF6" w:rsidDel="00FF2AFE" w:rsidRDefault="00F43C9F" w:rsidP="00855420">
            <w:pPr>
              <w:jc w:val="right"/>
              <w:rPr>
                <w:rFonts w:ascii="Calibri" w:hAnsi="Calibri"/>
                <w:sz w:val="22"/>
                <w:szCs w:val="22"/>
              </w:rPr>
            </w:pPr>
            <w:r>
              <w:rPr>
                <w:rFonts w:ascii="Calibri" w:hAnsi="Calibri"/>
                <w:sz w:val="22"/>
                <w:szCs w:val="22"/>
              </w:rPr>
              <w:t>25,000</w:t>
            </w:r>
          </w:p>
        </w:tc>
        <w:tc>
          <w:tcPr>
            <w:tcW w:w="1589" w:type="dxa"/>
            <w:tcBorders>
              <w:left w:val="double" w:sz="4" w:space="0" w:color="auto"/>
            </w:tcBorders>
            <w:vAlign w:val="center"/>
          </w:tcPr>
          <w:p w:rsidR="00E5231B" w:rsidDel="00FF2AFE" w:rsidRDefault="0074333B" w:rsidP="00855420">
            <w:pPr>
              <w:jc w:val="right"/>
              <w:rPr>
                <w:rFonts w:ascii="Calibri" w:hAnsi="Calibri"/>
                <w:sz w:val="22"/>
                <w:szCs w:val="22"/>
              </w:rPr>
            </w:pPr>
            <w:r>
              <w:rPr>
                <w:rFonts w:ascii="Calibri" w:hAnsi="Calibri"/>
                <w:sz w:val="22"/>
                <w:szCs w:val="22"/>
              </w:rPr>
              <w:t>7,000</w:t>
            </w:r>
          </w:p>
        </w:tc>
        <w:tc>
          <w:tcPr>
            <w:tcW w:w="1170" w:type="dxa"/>
            <w:vAlign w:val="center"/>
          </w:tcPr>
          <w:p w:rsidR="00E5231B" w:rsidRPr="00C42AF6" w:rsidDel="00FF2AFE" w:rsidRDefault="00E5231B" w:rsidP="00855420">
            <w:pPr>
              <w:jc w:val="right"/>
              <w:rPr>
                <w:rFonts w:ascii="Calibri" w:hAnsi="Calibri"/>
                <w:sz w:val="22"/>
                <w:szCs w:val="22"/>
              </w:rPr>
            </w:pPr>
          </w:p>
        </w:tc>
        <w:tc>
          <w:tcPr>
            <w:tcW w:w="1591" w:type="dxa"/>
            <w:vAlign w:val="center"/>
          </w:tcPr>
          <w:p w:rsidR="00E5231B" w:rsidRPr="00C42AF6" w:rsidDel="00FF2AFE" w:rsidRDefault="0074333B" w:rsidP="00855420">
            <w:pPr>
              <w:jc w:val="right"/>
              <w:rPr>
                <w:rFonts w:ascii="Calibri" w:hAnsi="Calibri"/>
                <w:sz w:val="22"/>
                <w:szCs w:val="22"/>
              </w:rPr>
            </w:pPr>
            <w:r>
              <w:rPr>
                <w:rFonts w:ascii="Calibri" w:hAnsi="Calibri"/>
                <w:sz w:val="22"/>
                <w:szCs w:val="22"/>
              </w:rPr>
              <w:t>1,000</w:t>
            </w:r>
          </w:p>
        </w:tc>
        <w:tc>
          <w:tcPr>
            <w:tcW w:w="1393" w:type="dxa"/>
            <w:vAlign w:val="center"/>
          </w:tcPr>
          <w:p w:rsidR="00E5231B" w:rsidDel="00FF2AFE" w:rsidRDefault="0074333B" w:rsidP="00855420">
            <w:pPr>
              <w:jc w:val="right"/>
              <w:rPr>
                <w:rFonts w:ascii="Calibri" w:hAnsi="Calibri"/>
                <w:sz w:val="22"/>
                <w:szCs w:val="22"/>
              </w:rPr>
            </w:pPr>
            <w:r>
              <w:rPr>
                <w:rFonts w:ascii="Calibri" w:hAnsi="Calibri"/>
                <w:sz w:val="22"/>
                <w:szCs w:val="22"/>
              </w:rPr>
              <w:t>17,000</w:t>
            </w:r>
          </w:p>
        </w:tc>
      </w:tr>
      <w:tr w:rsidR="0088411D" w:rsidRPr="00C42AF6" w:rsidTr="00C12789">
        <w:trPr>
          <w:jc w:val="center"/>
        </w:trPr>
        <w:tc>
          <w:tcPr>
            <w:tcW w:w="2999" w:type="dxa"/>
            <w:tcBorders>
              <w:right w:val="double" w:sz="4" w:space="0" w:color="auto"/>
            </w:tcBorders>
            <w:vAlign w:val="center"/>
          </w:tcPr>
          <w:p w:rsidR="0088411D" w:rsidRPr="005013EF" w:rsidRDefault="00DE02B1" w:rsidP="005013EF">
            <w:pPr>
              <w:rPr>
                <w:rFonts w:ascii="Calibri" w:hAnsi="Calibri"/>
                <w:sz w:val="22"/>
                <w:szCs w:val="22"/>
              </w:rPr>
            </w:pPr>
            <w:r>
              <w:rPr>
                <w:rFonts w:ascii="Calibri" w:hAnsi="Calibri"/>
                <w:sz w:val="22"/>
                <w:szCs w:val="22"/>
              </w:rPr>
              <w:t xml:space="preserve">Component 4: </w:t>
            </w:r>
            <w:proofErr w:type="spellStart"/>
            <w:r w:rsidR="005013EF" w:rsidRPr="005013EF">
              <w:rPr>
                <w:rFonts w:ascii="Calibri" w:hAnsi="Calibri"/>
                <w:sz w:val="22"/>
                <w:szCs w:val="22"/>
              </w:rPr>
              <w:t>Africities</w:t>
            </w:r>
            <w:proofErr w:type="spellEnd"/>
          </w:p>
        </w:tc>
        <w:tc>
          <w:tcPr>
            <w:tcW w:w="1064" w:type="dxa"/>
            <w:tcBorders>
              <w:top w:val="single" w:sz="4" w:space="0" w:color="auto"/>
              <w:left w:val="double" w:sz="4" w:space="0" w:color="auto"/>
              <w:bottom w:val="single" w:sz="4" w:space="0" w:color="auto"/>
              <w:right w:val="double" w:sz="4" w:space="0" w:color="auto"/>
            </w:tcBorders>
            <w:vAlign w:val="center"/>
          </w:tcPr>
          <w:p w:rsidR="0088411D" w:rsidRPr="00C42AF6" w:rsidRDefault="00DA6297" w:rsidP="00855420">
            <w:pPr>
              <w:jc w:val="right"/>
              <w:rPr>
                <w:rFonts w:ascii="Calibri" w:hAnsi="Calibri"/>
                <w:sz w:val="22"/>
                <w:szCs w:val="22"/>
              </w:rPr>
            </w:pPr>
            <w:r>
              <w:rPr>
                <w:rFonts w:ascii="Calibri" w:hAnsi="Calibri"/>
                <w:sz w:val="22"/>
                <w:szCs w:val="22"/>
              </w:rPr>
              <w:t>$58,000</w:t>
            </w:r>
          </w:p>
        </w:tc>
        <w:tc>
          <w:tcPr>
            <w:tcW w:w="1589" w:type="dxa"/>
            <w:tcBorders>
              <w:left w:val="double" w:sz="4" w:space="0" w:color="auto"/>
            </w:tcBorders>
            <w:vAlign w:val="center"/>
          </w:tcPr>
          <w:p w:rsidR="0088411D" w:rsidRPr="00C42AF6" w:rsidRDefault="0088411D" w:rsidP="00855420">
            <w:pPr>
              <w:jc w:val="right"/>
              <w:rPr>
                <w:rFonts w:ascii="Calibri" w:hAnsi="Calibri"/>
                <w:sz w:val="22"/>
                <w:szCs w:val="22"/>
              </w:rPr>
            </w:pPr>
          </w:p>
        </w:tc>
        <w:tc>
          <w:tcPr>
            <w:tcW w:w="1170" w:type="dxa"/>
            <w:vAlign w:val="center"/>
          </w:tcPr>
          <w:p w:rsidR="0088411D" w:rsidRPr="00C42AF6" w:rsidRDefault="0088411D" w:rsidP="00855420">
            <w:pPr>
              <w:jc w:val="right"/>
              <w:rPr>
                <w:rFonts w:ascii="Calibri" w:hAnsi="Calibri"/>
                <w:sz w:val="22"/>
                <w:szCs w:val="22"/>
              </w:rPr>
            </w:pPr>
          </w:p>
        </w:tc>
        <w:tc>
          <w:tcPr>
            <w:tcW w:w="1591" w:type="dxa"/>
            <w:vAlign w:val="center"/>
          </w:tcPr>
          <w:p w:rsidR="0088411D" w:rsidRPr="00C42AF6" w:rsidRDefault="00DA6297" w:rsidP="00855420">
            <w:pPr>
              <w:jc w:val="right"/>
              <w:rPr>
                <w:rFonts w:ascii="Calibri" w:hAnsi="Calibri"/>
                <w:sz w:val="22"/>
                <w:szCs w:val="22"/>
              </w:rPr>
            </w:pPr>
            <w:r>
              <w:rPr>
                <w:rFonts w:ascii="Calibri" w:hAnsi="Calibri"/>
                <w:sz w:val="22"/>
                <w:szCs w:val="22"/>
              </w:rPr>
              <w:t>$8,000</w:t>
            </w:r>
            <w:r w:rsidR="00B0364F">
              <w:rPr>
                <w:rFonts w:ascii="Calibri" w:hAnsi="Calibri"/>
                <w:sz w:val="22"/>
                <w:szCs w:val="22"/>
              </w:rPr>
              <w:t xml:space="preserve"> </w:t>
            </w:r>
          </w:p>
        </w:tc>
        <w:tc>
          <w:tcPr>
            <w:tcW w:w="1393" w:type="dxa"/>
            <w:vAlign w:val="center"/>
          </w:tcPr>
          <w:p w:rsidR="0088411D" w:rsidRPr="00C42AF6" w:rsidRDefault="00DA6297" w:rsidP="00855420">
            <w:pPr>
              <w:jc w:val="right"/>
              <w:rPr>
                <w:rFonts w:ascii="Calibri" w:hAnsi="Calibri"/>
                <w:sz w:val="22"/>
                <w:szCs w:val="22"/>
              </w:rPr>
            </w:pPr>
            <w:r>
              <w:rPr>
                <w:rFonts w:ascii="Calibri" w:hAnsi="Calibri"/>
                <w:sz w:val="22"/>
                <w:szCs w:val="22"/>
              </w:rPr>
              <w:t>$50,000</w:t>
            </w:r>
          </w:p>
        </w:tc>
      </w:tr>
      <w:tr w:rsidR="00DA6297" w:rsidRPr="00C42AF6" w:rsidTr="00DA6297">
        <w:trPr>
          <w:jc w:val="center"/>
        </w:trPr>
        <w:tc>
          <w:tcPr>
            <w:tcW w:w="2999" w:type="dxa"/>
            <w:tcBorders>
              <w:bottom w:val="single" w:sz="4" w:space="0" w:color="auto"/>
              <w:right w:val="double" w:sz="4" w:space="0" w:color="auto"/>
            </w:tcBorders>
            <w:vAlign w:val="center"/>
          </w:tcPr>
          <w:p w:rsidR="00DA6297" w:rsidRPr="00C42AF6" w:rsidRDefault="00DA6297" w:rsidP="0088411D">
            <w:pPr>
              <w:ind w:left="720"/>
              <w:rPr>
                <w:rFonts w:ascii="Calibri" w:hAnsi="Calibri"/>
                <w:sz w:val="22"/>
                <w:szCs w:val="22"/>
              </w:rPr>
            </w:pPr>
          </w:p>
        </w:tc>
        <w:tc>
          <w:tcPr>
            <w:tcW w:w="1064" w:type="dxa"/>
            <w:tcBorders>
              <w:top w:val="single" w:sz="4" w:space="0" w:color="auto"/>
              <w:left w:val="double" w:sz="4" w:space="0" w:color="auto"/>
              <w:bottom w:val="single" w:sz="4" w:space="0" w:color="auto"/>
              <w:right w:val="double" w:sz="4" w:space="0" w:color="auto"/>
            </w:tcBorders>
            <w:vAlign w:val="center"/>
          </w:tcPr>
          <w:p w:rsidR="00DA6297" w:rsidRPr="00C42AF6" w:rsidRDefault="00DA6297" w:rsidP="00855420">
            <w:pPr>
              <w:jc w:val="right"/>
              <w:rPr>
                <w:rFonts w:ascii="Calibri" w:hAnsi="Calibri"/>
                <w:sz w:val="22"/>
                <w:szCs w:val="22"/>
              </w:rPr>
            </w:pPr>
          </w:p>
        </w:tc>
        <w:tc>
          <w:tcPr>
            <w:tcW w:w="1589" w:type="dxa"/>
            <w:tcBorders>
              <w:left w:val="double" w:sz="4" w:space="0" w:color="auto"/>
              <w:bottom w:val="single" w:sz="4" w:space="0" w:color="auto"/>
            </w:tcBorders>
            <w:vAlign w:val="center"/>
          </w:tcPr>
          <w:p w:rsidR="00DA6297" w:rsidRPr="00C42AF6" w:rsidRDefault="00DA6297" w:rsidP="00855420">
            <w:pPr>
              <w:jc w:val="right"/>
              <w:rPr>
                <w:rFonts w:ascii="Calibri" w:hAnsi="Calibri"/>
                <w:sz w:val="22"/>
                <w:szCs w:val="22"/>
              </w:rPr>
            </w:pPr>
          </w:p>
        </w:tc>
        <w:tc>
          <w:tcPr>
            <w:tcW w:w="1170" w:type="dxa"/>
            <w:tcBorders>
              <w:bottom w:val="single" w:sz="4" w:space="0" w:color="auto"/>
            </w:tcBorders>
            <w:vAlign w:val="center"/>
          </w:tcPr>
          <w:p w:rsidR="00DA6297" w:rsidRPr="00C42AF6" w:rsidRDefault="00DA6297" w:rsidP="00855420">
            <w:pPr>
              <w:jc w:val="right"/>
              <w:rPr>
                <w:rFonts w:ascii="Calibri" w:hAnsi="Calibri"/>
                <w:sz w:val="22"/>
                <w:szCs w:val="22"/>
              </w:rPr>
            </w:pPr>
          </w:p>
        </w:tc>
        <w:tc>
          <w:tcPr>
            <w:tcW w:w="1591" w:type="dxa"/>
            <w:tcBorders>
              <w:bottom w:val="single" w:sz="4" w:space="0" w:color="auto"/>
            </w:tcBorders>
            <w:vAlign w:val="center"/>
          </w:tcPr>
          <w:p w:rsidR="00DA6297" w:rsidRPr="00C42AF6" w:rsidRDefault="00DA6297" w:rsidP="00855420">
            <w:pPr>
              <w:jc w:val="right"/>
              <w:rPr>
                <w:rFonts w:ascii="Calibri" w:hAnsi="Calibri"/>
                <w:sz w:val="22"/>
                <w:szCs w:val="22"/>
              </w:rPr>
            </w:pPr>
          </w:p>
        </w:tc>
        <w:tc>
          <w:tcPr>
            <w:tcW w:w="1393" w:type="dxa"/>
            <w:tcBorders>
              <w:bottom w:val="single" w:sz="4" w:space="0" w:color="auto"/>
            </w:tcBorders>
            <w:vAlign w:val="center"/>
          </w:tcPr>
          <w:p w:rsidR="00DA6297" w:rsidRPr="00C42AF6" w:rsidRDefault="00DA6297" w:rsidP="00855420">
            <w:pPr>
              <w:jc w:val="right"/>
              <w:rPr>
                <w:rFonts w:ascii="Calibri" w:hAnsi="Calibri"/>
                <w:sz w:val="22"/>
                <w:szCs w:val="22"/>
              </w:rPr>
            </w:pPr>
          </w:p>
        </w:tc>
      </w:tr>
      <w:tr w:rsidR="00DA6297" w:rsidRPr="00DA6297" w:rsidTr="00C12789">
        <w:trPr>
          <w:jc w:val="center"/>
        </w:trPr>
        <w:tc>
          <w:tcPr>
            <w:tcW w:w="2999" w:type="dxa"/>
            <w:tcBorders>
              <w:right w:val="double" w:sz="4" w:space="0" w:color="auto"/>
            </w:tcBorders>
            <w:vAlign w:val="center"/>
          </w:tcPr>
          <w:p w:rsidR="00DA6297" w:rsidRPr="00DA6297" w:rsidRDefault="00DA6297" w:rsidP="00DA6297">
            <w:pPr>
              <w:ind w:left="115"/>
              <w:rPr>
                <w:rFonts w:ascii="Calibri" w:hAnsi="Calibri"/>
                <w:b/>
                <w:sz w:val="22"/>
                <w:szCs w:val="22"/>
              </w:rPr>
            </w:pPr>
            <w:r w:rsidRPr="00DA6297">
              <w:rPr>
                <w:rFonts w:ascii="Calibri" w:hAnsi="Calibri"/>
                <w:b/>
                <w:sz w:val="22"/>
                <w:szCs w:val="22"/>
              </w:rPr>
              <w:t xml:space="preserve">PROPOSED BUDGET – CA </w:t>
            </w:r>
          </w:p>
        </w:tc>
        <w:tc>
          <w:tcPr>
            <w:tcW w:w="1064" w:type="dxa"/>
            <w:tcBorders>
              <w:top w:val="single" w:sz="4" w:space="0" w:color="auto"/>
              <w:left w:val="double" w:sz="4" w:space="0" w:color="auto"/>
              <w:bottom w:val="single" w:sz="4" w:space="0" w:color="auto"/>
              <w:right w:val="double" w:sz="4" w:space="0" w:color="auto"/>
            </w:tcBorders>
            <w:vAlign w:val="center"/>
          </w:tcPr>
          <w:p w:rsidR="00DA6297" w:rsidRPr="00DA6297" w:rsidRDefault="00DA6297" w:rsidP="00855420">
            <w:pPr>
              <w:jc w:val="right"/>
              <w:rPr>
                <w:rFonts w:ascii="Calibri" w:hAnsi="Calibri"/>
                <w:b/>
                <w:sz w:val="22"/>
                <w:szCs w:val="22"/>
              </w:rPr>
            </w:pPr>
            <w:r>
              <w:rPr>
                <w:rFonts w:ascii="Calibri" w:hAnsi="Calibri"/>
                <w:b/>
                <w:sz w:val="22"/>
                <w:szCs w:val="22"/>
              </w:rPr>
              <w:t>$244,000</w:t>
            </w:r>
          </w:p>
        </w:tc>
        <w:tc>
          <w:tcPr>
            <w:tcW w:w="1589" w:type="dxa"/>
            <w:tcBorders>
              <w:left w:val="double" w:sz="4" w:space="0" w:color="auto"/>
            </w:tcBorders>
            <w:vAlign w:val="center"/>
          </w:tcPr>
          <w:p w:rsidR="00DA6297" w:rsidRPr="00DA6297" w:rsidRDefault="00DA6297" w:rsidP="00855420">
            <w:pPr>
              <w:jc w:val="right"/>
              <w:rPr>
                <w:rFonts w:ascii="Calibri" w:hAnsi="Calibri"/>
                <w:b/>
                <w:sz w:val="22"/>
                <w:szCs w:val="22"/>
              </w:rPr>
            </w:pPr>
            <w:r>
              <w:rPr>
                <w:rFonts w:ascii="Calibri" w:hAnsi="Calibri"/>
                <w:b/>
                <w:sz w:val="22"/>
                <w:szCs w:val="22"/>
              </w:rPr>
              <w:t>$110,000</w:t>
            </w:r>
          </w:p>
        </w:tc>
        <w:tc>
          <w:tcPr>
            <w:tcW w:w="1170" w:type="dxa"/>
            <w:vAlign w:val="center"/>
          </w:tcPr>
          <w:p w:rsidR="00DA6297" w:rsidRPr="00DA6297" w:rsidRDefault="00DA6297" w:rsidP="00855420">
            <w:pPr>
              <w:jc w:val="right"/>
              <w:rPr>
                <w:rFonts w:ascii="Calibri" w:hAnsi="Calibri"/>
                <w:b/>
                <w:sz w:val="22"/>
                <w:szCs w:val="22"/>
              </w:rPr>
            </w:pPr>
          </w:p>
        </w:tc>
        <w:tc>
          <w:tcPr>
            <w:tcW w:w="1591" w:type="dxa"/>
            <w:vAlign w:val="center"/>
          </w:tcPr>
          <w:p w:rsidR="00DA6297" w:rsidRPr="00DA6297" w:rsidRDefault="00DA6297" w:rsidP="00DA6297">
            <w:pPr>
              <w:jc w:val="right"/>
              <w:rPr>
                <w:rFonts w:ascii="Calibri" w:hAnsi="Calibri"/>
                <w:b/>
                <w:sz w:val="22"/>
                <w:szCs w:val="22"/>
              </w:rPr>
            </w:pPr>
            <w:r>
              <w:rPr>
                <w:rFonts w:ascii="Calibri" w:hAnsi="Calibri"/>
                <w:b/>
                <w:sz w:val="22"/>
                <w:szCs w:val="22"/>
              </w:rPr>
              <w:t>$47,000</w:t>
            </w:r>
          </w:p>
        </w:tc>
        <w:tc>
          <w:tcPr>
            <w:tcW w:w="1393" w:type="dxa"/>
            <w:vAlign w:val="center"/>
          </w:tcPr>
          <w:p w:rsidR="00DA6297" w:rsidRPr="00DA6297" w:rsidRDefault="00DA6297" w:rsidP="00855420">
            <w:pPr>
              <w:jc w:val="right"/>
              <w:rPr>
                <w:rFonts w:ascii="Calibri" w:hAnsi="Calibri"/>
                <w:b/>
                <w:sz w:val="22"/>
                <w:szCs w:val="22"/>
              </w:rPr>
            </w:pPr>
            <w:r>
              <w:rPr>
                <w:rFonts w:ascii="Calibri" w:hAnsi="Calibri"/>
                <w:b/>
                <w:sz w:val="22"/>
                <w:szCs w:val="22"/>
              </w:rPr>
              <w:t>$87,000</w:t>
            </w:r>
          </w:p>
        </w:tc>
      </w:tr>
      <w:tr w:rsidR="0088411D" w:rsidRPr="00C42AF6" w:rsidTr="00C12789">
        <w:trPr>
          <w:jc w:val="center"/>
        </w:trPr>
        <w:tc>
          <w:tcPr>
            <w:tcW w:w="2999" w:type="dxa"/>
            <w:tcBorders>
              <w:right w:val="double" w:sz="4" w:space="0" w:color="auto"/>
            </w:tcBorders>
            <w:vAlign w:val="center"/>
          </w:tcPr>
          <w:p w:rsidR="0088411D" w:rsidRPr="00C42AF6" w:rsidRDefault="0088411D" w:rsidP="0088411D">
            <w:pPr>
              <w:ind w:left="720"/>
              <w:rPr>
                <w:rFonts w:ascii="Calibri" w:hAnsi="Calibri"/>
                <w:sz w:val="22"/>
                <w:szCs w:val="22"/>
              </w:rPr>
            </w:pPr>
          </w:p>
        </w:tc>
        <w:tc>
          <w:tcPr>
            <w:tcW w:w="1064" w:type="dxa"/>
            <w:tcBorders>
              <w:top w:val="single" w:sz="4" w:space="0" w:color="auto"/>
              <w:left w:val="double" w:sz="4" w:space="0" w:color="auto"/>
              <w:bottom w:val="single" w:sz="4" w:space="0" w:color="auto"/>
              <w:right w:val="double" w:sz="4" w:space="0" w:color="auto"/>
            </w:tcBorders>
            <w:vAlign w:val="center"/>
          </w:tcPr>
          <w:p w:rsidR="0088411D" w:rsidRPr="00C42AF6" w:rsidRDefault="0088411D" w:rsidP="00855420">
            <w:pPr>
              <w:jc w:val="right"/>
              <w:rPr>
                <w:rFonts w:ascii="Calibri" w:hAnsi="Calibri"/>
                <w:sz w:val="22"/>
                <w:szCs w:val="22"/>
              </w:rPr>
            </w:pPr>
          </w:p>
        </w:tc>
        <w:tc>
          <w:tcPr>
            <w:tcW w:w="1589" w:type="dxa"/>
            <w:tcBorders>
              <w:left w:val="double" w:sz="4" w:space="0" w:color="auto"/>
            </w:tcBorders>
            <w:vAlign w:val="center"/>
          </w:tcPr>
          <w:p w:rsidR="0088411D" w:rsidRPr="00C42AF6" w:rsidRDefault="0088411D" w:rsidP="00855420">
            <w:pPr>
              <w:jc w:val="right"/>
              <w:rPr>
                <w:rFonts w:ascii="Calibri" w:hAnsi="Calibri"/>
                <w:sz w:val="22"/>
                <w:szCs w:val="22"/>
              </w:rPr>
            </w:pPr>
          </w:p>
        </w:tc>
        <w:tc>
          <w:tcPr>
            <w:tcW w:w="1170" w:type="dxa"/>
            <w:vAlign w:val="center"/>
          </w:tcPr>
          <w:p w:rsidR="0088411D" w:rsidRPr="00C42AF6" w:rsidRDefault="0088411D" w:rsidP="00855420">
            <w:pPr>
              <w:jc w:val="right"/>
              <w:rPr>
                <w:rFonts w:ascii="Calibri" w:hAnsi="Calibri"/>
                <w:sz w:val="22"/>
                <w:szCs w:val="22"/>
              </w:rPr>
            </w:pPr>
          </w:p>
        </w:tc>
        <w:tc>
          <w:tcPr>
            <w:tcW w:w="1591" w:type="dxa"/>
            <w:vAlign w:val="center"/>
          </w:tcPr>
          <w:p w:rsidR="0088411D" w:rsidRPr="00C42AF6" w:rsidRDefault="0088411D" w:rsidP="00855420">
            <w:pPr>
              <w:jc w:val="right"/>
              <w:rPr>
                <w:rFonts w:ascii="Calibri" w:hAnsi="Calibri"/>
                <w:sz w:val="22"/>
                <w:szCs w:val="22"/>
              </w:rPr>
            </w:pPr>
          </w:p>
        </w:tc>
        <w:tc>
          <w:tcPr>
            <w:tcW w:w="1393" w:type="dxa"/>
            <w:vAlign w:val="center"/>
          </w:tcPr>
          <w:p w:rsidR="0088411D" w:rsidRPr="00C42AF6" w:rsidRDefault="0088411D" w:rsidP="00855420">
            <w:pPr>
              <w:jc w:val="right"/>
              <w:rPr>
                <w:rFonts w:ascii="Calibri" w:hAnsi="Calibri"/>
                <w:sz w:val="22"/>
                <w:szCs w:val="22"/>
              </w:rPr>
            </w:pPr>
          </w:p>
        </w:tc>
      </w:tr>
      <w:tr w:rsidR="00FB7B43" w:rsidRPr="00C42AF6" w:rsidTr="0057799D">
        <w:trPr>
          <w:jc w:val="center"/>
        </w:trPr>
        <w:tc>
          <w:tcPr>
            <w:tcW w:w="2999" w:type="dxa"/>
            <w:tcBorders>
              <w:right w:val="double" w:sz="4" w:space="0" w:color="auto"/>
            </w:tcBorders>
            <w:shd w:val="clear" w:color="auto" w:fill="C0C0C0"/>
          </w:tcPr>
          <w:p w:rsidR="00FB7B43" w:rsidRPr="00C42AF6" w:rsidRDefault="00FB7B43" w:rsidP="00FB7B43">
            <w:pPr>
              <w:rPr>
                <w:rFonts w:ascii="Calibri" w:hAnsi="Calibri"/>
                <w:b/>
                <w:sz w:val="22"/>
                <w:szCs w:val="22"/>
              </w:rPr>
            </w:pPr>
            <w:r>
              <w:rPr>
                <w:rFonts w:ascii="Calibri" w:hAnsi="Calibri"/>
                <w:b/>
                <w:sz w:val="22"/>
                <w:szCs w:val="22"/>
              </w:rPr>
              <w:t xml:space="preserve">OTHER JWP </w:t>
            </w:r>
            <w:r w:rsidR="00DA6297">
              <w:rPr>
                <w:rFonts w:ascii="Calibri" w:hAnsi="Calibri"/>
                <w:b/>
                <w:sz w:val="22"/>
                <w:szCs w:val="22"/>
              </w:rPr>
              <w:t xml:space="preserve">CA </w:t>
            </w:r>
            <w:r>
              <w:rPr>
                <w:rFonts w:ascii="Calibri" w:hAnsi="Calibri"/>
                <w:b/>
                <w:sz w:val="22"/>
                <w:szCs w:val="22"/>
              </w:rPr>
              <w:t>BUDGET</w:t>
            </w:r>
          </w:p>
        </w:tc>
        <w:tc>
          <w:tcPr>
            <w:tcW w:w="1064" w:type="dxa"/>
            <w:tcBorders>
              <w:top w:val="single" w:sz="4" w:space="0" w:color="auto"/>
              <w:left w:val="double" w:sz="4" w:space="0" w:color="auto"/>
              <w:bottom w:val="single" w:sz="4" w:space="0" w:color="auto"/>
              <w:right w:val="double" w:sz="4" w:space="0" w:color="auto"/>
            </w:tcBorders>
            <w:shd w:val="clear" w:color="auto" w:fill="C0C0C0"/>
          </w:tcPr>
          <w:p w:rsidR="00FB7B43" w:rsidRPr="00C42AF6" w:rsidRDefault="00FB7B43" w:rsidP="0057799D">
            <w:pPr>
              <w:rPr>
                <w:rFonts w:ascii="Calibri" w:hAnsi="Calibri"/>
                <w:b/>
                <w:sz w:val="22"/>
                <w:szCs w:val="22"/>
              </w:rPr>
            </w:pPr>
          </w:p>
        </w:tc>
        <w:tc>
          <w:tcPr>
            <w:tcW w:w="1589" w:type="dxa"/>
            <w:tcBorders>
              <w:left w:val="double" w:sz="4" w:space="0" w:color="auto"/>
            </w:tcBorders>
            <w:shd w:val="clear" w:color="auto" w:fill="C0C0C0"/>
          </w:tcPr>
          <w:p w:rsidR="00FB7B43" w:rsidRPr="00C42AF6" w:rsidRDefault="00FB7B43" w:rsidP="0057799D">
            <w:pPr>
              <w:rPr>
                <w:rFonts w:ascii="Calibri" w:hAnsi="Calibri"/>
                <w:b/>
                <w:sz w:val="22"/>
                <w:szCs w:val="22"/>
              </w:rPr>
            </w:pPr>
          </w:p>
        </w:tc>
        <w:tc>
          <w:tcPr>
            <w:tcW w:w="1170" w:type="dxa"/>
            <w:shd w:val="clear" w:color="auto" w:fill="C0C0C0"/>
          </w:tcPr>
          <w:p w:rsidR="00FB7B43" w:rsidRPr="00C42AF6" w:rsidRDefault="00FB7B43" w:rsidP="0057799D">
            <w:pPr>
              <w:rPr>
                <w:rFonts w:ascii="Calibri" w:hAnsi="Calibri"/>
                <w:b/>
                <w:sz w:val="22"/>
                <w:szCs w:val="22"/>
              </w:rPr>
            </w:pPr>
          </w:p>
        </w:tc>
        <w:tc>
          <w:tcPr>
            <w:tcW w:w="1591" w:type="dxa"/>
            <w:shd w:val="clear" w:color="auto" w:fill="C0C0C0"/>
          </w:tcPr>
          <w:p w:rsidR="00FB7B43" w:rsidRPr="00C42AF6" w:rsidRDefault="00FB7B43" w:rsidP="0057799D">
            <w:pPr>
              <w:rPr>
                <w:rFonts w:ascii="Calibri" w:hAnsi="Calibri"/>
                <w:b/>
                <w:sz w:val="22"/>
                <w:szCs w:val="22"/>
              </w:rPr>
            </w:pPr>
          </w:p>
        </w:tc>
        <w:tc>
          <w:tcPr>
            <w:tcW w:w="1393" w:type="dxa"/>
            <w:shd w:val="clear" w:color="auto" w:fill="C0C0C0"/>
          </w:tcPr>
          <w:p w:rsidR="00FB7B43" w:rsidRPr="00C42AF6" w:rsidRDefault="00FB7B43" w:rsidP="0057799D">
            <w:pPr>
              <w:rPr>
                <w:rFonts w:ascii="Calibri" w:hAnsi="Calibri"/>
                <w:b/>
                <w:sz w:val="22"/>
                <w:szCs w:val="22"/>
              </w:rPr>
            </w:pPr>
          </w:p>
        </w:tc>
      </w:tr>
      <w:tr w:rsidR="00FB7B43" w:rsidRPr="00C42AF6" w:rsidTr="0057799D">
        <w:trPr>
          <w:jc w:val="center"/>
        </w:trPr>
        <w:tc>
          <w:tcPr>
            <w:tcW w:w="2999" w:type="dxa"/>
            <w:tcBorders>
              <w:right w:val="double" w:sz="4" w:space="0" w:color="auto"/>
            </w:tcBorders>
            <w:vAlign w:val="center"/>
          </w:tcPr>
          <w:p w:rsidR="00FB7B43" w:rsidRPr="00C42AF6" w:rsidRDefault="00FB7B43" w:rsidP="0057799D">
            <w:pPr>
              <w:rPr>
                <w:rFonts w:ascii="Calibri" w:hAnsi="Calibri"/>
                <w:sz w:val="22"/>
                <w:szCs w:val="22"/>
              </w:rPr>
            </w:pPr>
            <w:r>
              <w:rPr>
                <w:rFonts w:ascii="Calibri" w:hAnsi="Calibri"/>
                <w:sz w:val="22"/>
                <w:szCs w:val="22"/>
              </w:rPr>
              <w:t xml:space="preserve">Component 1: </w:t>
            </w:r>
            <w:r w:rsidRPr="0034797D">
              <w:rPr>
                <w:rFonts w:ascii="Calibri" w:hAnsi="Calibri"/>
                <w:sz w:val="22"/>
                <w:szCs w:val="22"/>
              </w:rPr>
              <w:t>City Enabling Environment (CEE) Rating System</w:t>
            </w:r>
            <w:r>
              <w:rPr>
                <w:rFonts w:ascii="Calibri" w:hAnsi="Calibri"/>
                <w:sz w:val="22"/>
                <w:szCs w:val="22"/>
              </w:rPr>
              <w:t>: Decentralization Specialist (From on-going funding for development of CA regional plans)</w:t>
            </w:r>
          </w:p>
        </w:tc>
        <w:tc>
          <w:tcPr>
            <w:tcW w:w="1064" w:type="dxa"/>
            <w:tcBorders>
              <w:top w:val="single" w:sz="4" w:space="0" w:color="auto"/>
              <w:left w:val="double" w:sz="4" w:space="0" w:color="auto"/>
              <w:bottom w:val="single" w:sz="4" w:space="0" w:color="auto"/>
              <w:right w:val="double" w:sz="4" w:space="0" w:color="auto"/>
            </w:tcBorders>
            <w:vAlign w:val="center"/>
          </w:tcPr>
          <w:p w:rsidR="00FB7B43" w:rsidRPr="00C42AF6" w:rsidRDefault="00FF2AFE" w:rsidP="0057799D">
            <w:pPr>
              <w:jc w:val="right"/>
              <w:rPr>
                <w:rFonts w:ascii="Calibri" w:hAnsi="Calibri"/>
                <w:sz w:val="22"/>
                <w:szCs w:val="22"/>
              </w:rPr>
            </w:pPr>
            <w:r>
              <w:rPr>
                <w:rFonts w:ascii="Calibri" w:hAnsi="Calibri"/>
                <w:sz w:val="22"/>
                <w:szCs w:val="22"/>
              </w:rPr>
              <w:t>34,000</w:t>
            </w:r>
          </w:p>
        </w:tc>
        <w:tc>
          <w:tcPr>
            <w:tcW w:w="1589" w:type="dxa"/>
            <w:tcBorders>
              <w:left w:val="double" w:sz="4" w:space="0" w:color="auto"/>
            </w:tcBorders>
            <w:vAlign w:val="center"/>
          </w:tcPr>
          <w:p w:rsidR="00FB7B43" w:rsidRPr="00C42AF6" w:rsidRDefault="00FB7B43" w:rsidP="0057799D">
            <w:pPr>
              <w:jc w:val="right"/>
              <w:rPr>
                <w:rFonts w:ascii="Calibri" w:hAnsi="Calibri"/>
                <w:sz w:val="22"/>
                <w:szCs w:val="22"/>
              </w:rPr>
            </w:pPr>
            <w:r>
              <w:rPr>
                <w:rFonts w:ascii="Calibri" w:hAnsi="Calibri"/>
                <w:sz w:val="22"/>
                <w:szCs w:val="22"/>
              </w:rPr>
              <w:t>25,000</w:t>
            </w:r>
          </w:p>
        </w:tc>
        <w:tc>
          <w:tcPr>
            <w:tcW w:w="1170" w:type="dxa"/>
            <w:vAlign w:val="center"/>
          </w:tcPr>
          <w:p w:rsidR="00FB7B43" w:rsidRPr="00C42AF6" w:rsidRDefault="00FB7B43" w:rsidP="0057799D">
            <w:pPr>
              <w:jc w:val="right"/>
              <w:rPr>
                <w:rFonts w:ascii="Calibri" w:hAnsi="Calibri"/>
                <w:sz w:val="22"/>
                <w:szCs w:val="22"/>
              </w:rPr>
            </w:pPr>
          </w:p>
        </w:tc>
        <w:tc>
          <w:tcPr>
            <w:tcW w:w="1591" w:type="dxa"/>
            <w:vAlign w:val="center"/>
          </w:tcPr>
          <w:p w:rsidR="00FB7B43" w:rsidRPr="00C42AF6" w:rsidRDefault="00FB7B43" w:rsidP="0057799D">
            <w:pPr>
              <w:jc w:val="right"/>
              <w:rPr>
                <w:rFonts w:ascii="Calibri" w:hAnsi="Calibri"/>
                <w:sz w:val="22"/>
                <w:szCs w:val="22"/>
              </w:rPr>
            </w:pPr>
          </w:p>
        </w:tc>
        <w:tc>
          <w:tcPr>
            <w:tcW w:w="1393" w:type="dxa"/>
            <w:vAlign w:val="center"/>
          </w:tcPr>
          <w:p w:rsidR="00FB7B43" w:rsidRPr="00C42AF6" w:rsidRDefault="00FB7B43" w:rsidP="00FF2AFE">
            <w:pPr>
              <w:jc w:val="right"/>
              <w:rPr>
                <w:rFonts w:ascii="Calibri" w:hAnsi="Calibri"/>
                <w:sz w:val="22"/>
                <w:szCs w:val="22"/>
              </w:rPr>
            </w:pPr>
            <w:r>
              <w:rPr>
                <w:rFonts w:ascii="Calibri" w:hAnsi="Calibri"/>
                <w:sz w:val="22"/>
                <w:szCs w:val="22"/>
              </w:rPr>
              <w:t>9,</w:t>
            </w:r>
            <w:r w:rsidR="00FF2AFE">
              <w:rPr>
                <w:rFonts w:ascii="Calibri" w:hAnsi="Calibri"/>
                <w:sz w:val="22"/>
                <w:szCs w:val="22"/>
              </w:rPr>
              <w:t>00</w:t>
            </w:r>
            <w:r>
              <w:rPr>
                <w:rFonts w:ascii="Calibri" w:hAnsi="Calibri"/>
                <w:sz w:val="22"/>
                <w:szCs w:val="22"/>
              </w:rPr>
              <w:t>0</w:t>
            </w:r>
          </w:p>
        </w:tc>
      </w:tr>
      <w:tr w:rsidR="00FB7B43" w:rsidRPr="00C42AF6" w:rsidTr="0057799D">
        <w:trPr>
          <w:jc w:val="center"/>
        </w:trPr>
        <w:tc>
          <w:tcPr>
            <w:tcW w:w="2999" w:type="dxa"/>
            <w:tcBorders>
              <w:right w:val="double" w:sz="4" w:space="0" w:color="auto"/>
            </w:tcBorders>
            <w:vAlign w:val="bottom"/>
          </w:tcPr>
          <w:p w:rsidR="00FB7B43" w:rsidRPr="00C42AF6" w:rsidRDefault="00FB7B43" w:rsidP="0057799D">
            <w:pPr>
              <w:rPr>
                <w:rFonts w:ascii="Calibri" w:hAnsi="Calibri"/>
                <w:sz w:val="22"/>
                <w:szCs w:val="22"/>
              </w:rPr>
            </w:pPr>
            <w:r>
              <w:rPr>
                <w:rFonts w:ascii="Calibri" w:hAnsi="Calibri"/>
                <w:sz w:val="22"/>
                <w:szCs w:val="22"/>
              </w:rPr>
              <w:t>Component 2: Knowledge Management Specialist (from  on-going funding for development of CA regional plans)</w:t>
            </w:r>
          </w:p>
        </w:tc>
        <w:tc>
          <w:tcPr>
            <w:tcW w:w="1064" w:type="dxa"/>
            <w:tcBorders>
              <w:top w:val="single" w:sz="4" w:space="0" w:color="auto"/>
              <w:left w:val="double" w:sz="4" w:space="0" w:color="auto"/>
              <w:bottom w:val="single" w:sz="4" w:space="0" w:color="auto"/>
              <w:right w:val="double" w:sz="4" w:space="0" w:color="auto"/>
            </w:tcBorders>
            <w:vAlign w:val="center"/>
          </w:tcPr>
          <w:p w:rsidR="00FB7B43" w:rsidRPr="00C42AF6" w:rsidRDefault="00FF2AFE" w:rsidP="0057799D">
            <w:pPr>
              <w:jc w:val="right"/>
              <w:rPr>
                <w:rFonts w:ascii="Calibri" w:hAnsi="Calibri"/>
                <w:sz w:val="22"/>
                <w:szCs w:val="22"/>
              </w:rPr>
            </w:pPr>
            <w:r>
              <w:rPr>
                <w:rFonts w:ascii="Calibri" w:hAnsi="Calibri"/>
                <w:sz w:val="22"/>
                <w:szCs w:val="22"/>
              </w:rPr>
              <w:t>62,000</w:t>
            </w:r>
          </w:p>
        </w:tc>
        <w:tc>
          <w:tcPr>
            <w:tcW w:w="1589" w:type="dxa"/>
            <w:tcBorders>
              <w:left w:val="double" w:sz="4" w:space="0" w:color="auto"/>
            </w:tcBorders>
            <w:vAlign w:val="center"/>
          </w:tcPr>
          <w:p w:rsidR="00FB7B43" w:rsidRPr="00C42AF6" w:rsidRDefault="00FB7B43" w:rsidP="0057799D">
            <w:pPr>
              <w:jc w:val="right"/>
              <w:rPr>
                <w:rFonts w:ascii="Calibri" w:hAnsi="Calibri"/>
                <w:sz w:val="22"/>
                <w:szCs w:val="22"/>
              </w:rPr>
            </w:pPr>
            <w:r>
              <w:rPr>
                <w:rFonts w:ascii="Calibri" w:hAnsi="Calibri"/>
                <w:sz w:val="22"/>
                <w:szCs w:val="22"/>
              </w:rPr>
              <w:t>62,000</w:t>
            </w:r>
          </w:p>
        </w:tc>
        <w:tc>
          <w:tcPr>
            <w:tcW w:w="1170" w:type="dxa"/>
            <w:vAlign w:val="center"/>
          </w:tcPr>
          <w:p w:rsidR="00FB7B43" w:rsidRPr="00C42AF6" w:rsidRDefault="00FB7B43" w:rsidP="0057799D">
            <w:pPr>
              <w:jc w:val="right"/>
              <w:rPr>
                <w:rFonts w:ascii="Calibri" w:hAnsi="Calibri"/>
                <w:sz w:val="22"/>
                <w:szCs w:val="22"/>
              </w:rPr>
            </w:pPr>
          </w:p>
        </w:tc>
        <w:tc>
          <w:tcPr>
            <w:tcW w:w="1591" w:type="dxa"/>
            <w:vAlign w:val="center"/>
          </w:tcPr>
          <w:p w:rsidR="00FB7B43" w:rsidRPr="00C42AF6" w:rsidRDefault="00FB7B43" w:rsidP="0057799D">
            <w:pPr>
              <w:jc w:val="right"/>
              <w:rPr>
                <w:rFonts w:ascii="Calibri" w:hAnsi="Calibri"/>
                <w:sz w:val="22"/>
                <w:szCs w:val="22"/>
              </w:rPr>
            </w:pPr>
          </w:p>
        </w:tc>
        <w:tc>
          <w:tcPr>
            <w:tcW w:w="1393" w:type="dxa"/>
            <w:vAlign w:val="center"/>
          </w:tcPr>
          <w:p w:rsidR="00FB7B43" w:rsidRPr="00C42AF6" w:rsidRDefault="00FB7B43" w:rsidP="0057799D">
            <w:pPr>
              <w:jc w:val="right"/>
              <w:rPr>
                <w:rFonts w:ascii="Calibri" w:hAnsi="Calibri"/>
                <w:sz w:val="22"/>
                <w:szCs w:val="22"/>
              </w:rPr>
            </w:pPr>
          </w:p>
        </w:tc>
      </w:tr>
      <w:tr w:rsidR="00FF2AFE" w:rsidRPr="00C42AF6" w:rsidTr="0057799D">
        <w:trPr>
          <w:trHeight w:val="332"/>
          <w:jc w:val="center"/>
        </w:trPr>
        <w:tc>
          <w:tcPr>
            <w:tcW w:w="2999" w:type="dxa"/>
            <w:tcBorders>
              <w:right w:val="double" w:sz="4" w:space="0" w:color="auto"/>
            </w:tcBorders>
            <w:vAlign w:val="center"/>
          </w:tcPr>
          <w:p w:rsidR="00FF2AFE" w:rsidRDefault="00FF2AFE" w:rsidP="0057799D">
            <w:pPr>
              <w:rPr>
                <w:rFonts w:ascii="Calibri" w:hAnsi="Calibri"/>
                <w:sz w:val="22"/>
                <w:szCs w:val="22"/>
              </w:rPr>
            </w:pPr>
            <w:r>
              <w:rPr>
                <w:rFonts w:ascii="Calibri" w:hAnsi="Calibri"/>
                <w:sz w:val="22"/>
                <w:szCs w:val="22"/>
              </w:rPr>
              <w:t xml:space="preserve">Component 3: </w:t>
            </w:r>
            <w:r w:rsidRPr="00E540FA">
              <w:rPr>
                <w:rFonts w:ascii="Calibri" w:hAnsi="Calibri"/>
                <w:sz w:val="22"/>
                <w:szCs w:val="22"/>
              </w:rPr>
              <w:t xml:space="preserve">CA/UCLGA </w:t>
            </w:r>
            <w:r>
              <w:rPr>
                <w:rFonts w:ascii="Calibri" w:hAnsi="Calibri"/>
                <w:sz w:val="22"/>
                <w:szCs w:val="22"/>
              </w:rPr>
              <w:t>High-Level Conference</w:t>
            </w:r>
            <w:r w:rsidRPr="00E540FA">
              <w:rPr>
                <w:rFonts w:ascii="Calibri" w:hAnsi="Calibri"/>
                <w:sz w:val="22"/>
                <w:szCs w:val="22"/>
              </w:rPr>
              <w:t xml:space="preserve"> on Financing African Cities</w:t>
            </w:r>
          </w:p>
          <w:p w:rsidR="00FF2AFE" w:rsidRPr="00E540FA" w:rsidRDefault="00FF2AFE" w:rsidP="0057799D">
            <w:pPr>
              <w:rPr>
                <w:rFonts w:ascii="Calibri" w:hAnsi="Calibri"/>
                <w:sz w:val="22"/>
                <w:szCs w:val="22"/>
              </w:rPr>
            </w:pPr>
            <w:r>
              <w:rPr>
                <w:rFonts w:ascii="Calibri" w:hAnsi="Calibri"/>
                <w:sz w:val="22"/>
                <w:szCs w:val="22"/>
              </w:rPr>
              <w:t>(financed from other approved CA allocations)</w:t>
            </w:r>
          </w:p>
        </w:tc>
        <w:tc>
          <w:tcPr>
            <w:tcW w:w="1064" w:type="dxa"/>
            <w:tcBorders>
              <w:top w:val="single" w:sz="4" w:space="0" w:color="auto"/>
              <w:left w:val="double" w:sz="4" w:space="0" w:color="auto"/>
              <w:bottom w:val="single" w:sz="4" w:space="0" w:color="auto"/>
              <w:right w:val="double" w:sz="4" w:space="0" w:color="auto"/>
            </w:tcBorders>
            <w:vAlign w:val="center"/>
          </w:tcPr>
          <w:p w:rsidR="00FF2AFE" w:rsidRPr="00C42AF6" w:rsidRDefault="00FF2AFE" w:rsidP="00E5231B">
            <w:pPr>
              <w:jc w:val="right"/>
              <w:rPr>
                <w:rFonts w:ascii="Calibri" w:hAnsi="Calibri"/>
                <w:sz w:val="22"/>
                <w:szCs w:val="22"/>
              </w:rPr>
            </w:pPr>
            <w:r>
              <w:rPr>
                <w:rFonts w:ascii="Calibri" w:hAnsi="Calibri"/>
                <w:sz w:val="22"/>
                <w:szCs w:val="22"/>
              </w:rPr>
              <w:t>1</w:t>
            </w:r>
            <w:r w:rsidR="00E5231B">
              <w:rPr>
                <w:rFonts w:ascii="Calibri" w:hAnsi="Calibri"/>
                <w:sz w:val="22"/>
                <w:szCs w:val="22"/>
              </w:rPr>
              <w:t>1</w:t>
            </w:r>
            <w:r>
              <w:rPr>
                <w:rFonts w:ascii="Calibri" w:hAnsi="Calibri"/>
                <w:sz w:val="22"/>
                <w:szCs w:val="22"/>
              </w:rPr>
              <w:t>0,000</w:t>
            </w:r>
          </w:p>
        </w:tc>
        <w:tc>
          <w:tcPr>
            <w:tcW w:w="1589" w:type="dxa"/>
            <w:tcBorders>
              <w:left w:val="double" w:sz="4" w:space="0" w:color="auto"/>
            </w:tcBorders>
            <w:vAlign w:val="center"/>
          </w:tcPr>
          <w:p w:rsidR="00FF2AFE" w:rsidRPr="00C42AF6" w:rsidRDefault="00FF2AFE" w:rsidP="0057799D">
            <w:pPr>
              <w:jc w:val="right"/>
              <w:rPr>
                <w:rFonts w:ascii="Calibri" w:hAnsi="Calibri"/>
                <w:sz w:val="22"/>
                <w:szCs w:val="22"/>
              </w:rPr>
            </w:pPr>
            <w:r>
              <w:rPr>
                <w:rFonts w:ascii="Calibri" w:hAnsi="Calibri"/>
                <w:sz w:val="22"/>
                <w:szCs w:val="22"/>
              </w:rPr>
              <w:t>15,000</w:t>
            </w:r>
          </w:p>
        </w:tc>
        <w:tc>
          <w:tcPr>
            <w:tcW w:w="1170" w:type="dxa"/>
            <w:vAlign w:val="center"/>
          </w:tcPr>
          <w:p w:rsidR="00FF2AFE" w:rsidRPr="00C42AF6" w:rsidRDefault="00FF2AFE" w:rsidP="0057799D">
            <w:pPr>
              <w:jc w:val="right"/>
              <w:rPr>
                <w:rFonts w:ascii="Calibri" w:hAnsi="Calibri"/>
                <w:sz w:val="22"/>
                <w:szCs w:val="22"/>
              </w:rPr>
            </w:pPr>
          </w:p>
        </w:tc>
        <w:tc>
          <w:tcPr>
            <w:tcW w:w="1591" w:type="dxa"/>
            <w:vAlign w:val="center"/>
          </w:tcPr>
          <w:p w:rsidR="00FF2AFE" w:rsidRPr="00C42AF6" w:rsidRDefault="00FF2AFE" w:rsidP="0057799D">
            <w:pPr>
              <w:jc w:val="right"/>
              <w:rPr>
                <w:rFonts w:ascii="Calibri" w:hAnsi="Calibri"/>
                <w:sz w:val="22"/>
                <w:szCs w:val="22"/>
              </w:rPr>
            </w:pPr>
          </w:p>
        </w:tc>
        <w:tc>
          <w:tcPr>
            <w:tcW w:w="1393" w:type="dxa"/>
            <w:vAlign w:val="center"/>
          </w:tcPr>
          <w:p w:rsidR="00FF2AFE" w:rsidRPr="00C42AF6" w:rsidRDefault="00E5231B" w:rsidP="0057799D">
            <w:pPr>
              <w:jc w:val="right"/>
              <w:rPr>
                <w:rFonts w:ascii="Calibri" w:hAnsi="Calibri"/>
                <w:sz w:val="22"/>
                <w:szCs w:val="22"/>
              </w:rPr>
            </w:pPr>
            <w:r>
              <w:rPr>
                <w:rFonts w:ascii="Calibri" w:hAnsi="Calibri"/>
                <w:sz w:val="22"/>
                <w:szCs w:val="22"/>
              </w:rPr>
              <w:t>9</w:t>
            </w:r>
            <w:r w:rsidR="00FF2AFE">
              <w:rPr>
                <w:rFonts w:ascii="Calibri" w:hAnsi="Calibri"/>
                <w:sz w:val="22"/>
                <w:szCs w:val="22"/>
              </w:rPr>
              <w:t>5,000</w:t>
            </w:r>
          </w:p>
        </w:tc>
      </w:tr>
      <w:tr w:rsidR="0088411D" w:rsidRPr="00C42AF6" w:rsidTr="00C12789">
        <w:trPr>
          <w:jc w:val="center"/>
        </w:trPr>
        <w:tc>
          <w:tcPr>
            <w:tcW w:w="2999" w:type="dxa"/>
            <w:tcBorders>
              <w:right w:val="double" w:sz="4" w:space="0" w:color="auto"/>
            </w:tcBorders>
            <w:vAlign w:val="center"/>
          </w:tcPr>
          <w:p w:rsidR="0088411D" w:rsidRPr="00C42AF6" w:rsidRDefault="0088411D" w:rsidP="00DA6297">
            <w:pPr>
              <w:rPr>
                <w:rFonts w:ascii="Calibri" w:hAnsi="Calibri"/>
                <w:sz w:val="22"/>
                <w:szCs w:val="22"/>
              </w:rPr>
            </w:pPr>
          </w:p>
        </w:tc>
        <w:tc>
          <w:tcPr>
            <w:tcW w:w="1064" w:type="dxa"/>
            <w:tcBorders>
              <w:top w:val="single" w:sz="4" w:space="0" w:color="auto"/>
              <w:left w:val="double" w:sz="4" w:space="0" w:color="auto"/>
              <w:bottom w:val="single" w:sz="4" w:space="0" w:color="auto"/>
              <w:right w:val="double" w:sz="4" w:space="0" w:color="auto"/>
            </w:tcBorders>
            <w:vAlign w:val="center"/>
          </w:tcPr>
          <w:p w:rsidR="0088411D" w:rsidRPr="00C42AF6" w:rsidRDefault="0088411D" w:rsidP="00855420">
            <w:pPr>
              <w:jc w:val="right"/>
              <w:rPr>
                <w:rFonts w:ascii="Calibri" w:hAnsi="Calibri"/>
                <w:sz w:val="22"/>
                <w:szCs w:val="22"/>
              </w:rPr>
            </w:pPr>
          </w:p>
        </w:tc>
        <w:tc>
          <w:tcPr>
            <w:tcW w:w="1589" w:type="dxa"/>
            <w:tcBorders>
              <w:left w:val="double" w:sz="4" w:space="0" w:color="auto"/>
            </w:tcBorders>
            <w:vAlign w:val="center"/>
          </w:tcPr>
          <w:p w:rsidR="0088411D" w:rsidRPr="00C42AF6" w:rsidRDefault="0088411D" w:rsidP="00855420">
            <w:pPr>
              <w:jc w:val="right"/>
              <w:rPr>
                <w:rFonts w:ascii="Calibri" w:hAnsi="Calibri"/>
                <w:sz w:val="22"/>
                <w:szCs w:val="22"/>
              </w:rPr>
            </w:pPr>
          </w:p>
        </w:tc>
        <w:tc>
          <w:tcPr>
            <w:tcW w:w="1170" w:type="dxa"/>
            <w:vAlign w:val="center"/>
          </w:tcPr>
          <w:p w:rsidR="0088411D" w:rsidRPr="00C42AF6" w:rsidRDefault="0088411D" w:rsidP="00855420">
            <w:pPr>
              <w:jc w:val="right"/>
              <w:rPr>
                <w:rFonts w:ascii="Calibri" w:hAnsi="Calibri"/>
                <w:sz w:val="22"/>
                <w:szCs w:val="22"/>
              </w:rPr>
            </w:pPr>
          </w:p>
        </w:tc>
        <w:tc>
          <w:tcPr>
            <w:tcW w:w="1591" w:type="dxa"/>
            <w:vAlign w:val="center"/>
          </w:tcPr>
          <w:p w:rsidR="0088411D" w:rsidRPr="00C42AF6" w:rsidRDefault="0088411D" w:rsidP="00855420">
            <w:pPr>
              <w:jc w:val="right"/>
              <w:rPr>
                <w:rFonts w:ascii="Calibri" w:hAnsi="Calibri"/>
                <w:sz w:val="22"/>
                <w:szCs w:val="22"/>
              </w:rPr>
            </w:pPr>
          </w:p>
        </w:tc>
        <w:tc>
          <w:tcPr>
            <w:tcW w:w="1393" w:type="dxa"/>
            <w:vAlign w:val="center"/>
          </w:tcPr>
          <w:p w:rsidR="0088411D" w:rsidRPr="00C42AF6" w:rsidRDefault="0088411D" w:rsidP="00855420">
            <w:pPr>
              <w:jc w:val="right"/>
              <w:rPr>
                <w:rFonts w:ascii="Calibri" w:hAnsi="Calibri"/>
                <w:sz w:val="22"/>
                <w:szCs w:val="22"/>
              </w:rPr>
            </w:pPr>
          </w:p>
        </w:tc>
      </w:tr>
      <w:tr w:rsidR="00DA6297" w:rsidRPr="00DA6297" w:rsidTr="0057799D">
        <w:trPr>
          <w:jc w:val="center"/>
        </w:trPr>
        <w:tc>
          <w:tcPr>
            <w:tcW w:w="2999" w:type="dxa"/>
            <w:tcBorders>
              <w:right w:val="double" w:sz="4" w:space="0" w:color="auto"/>
            </w:tcBorders>
            <w:vAlign w:val="center"/>
          </w:tcPr>
          <w:p w:rsidR="00DA6297" w:rsidRPr="00DA6297" w:rsidRDefault="00DA6297" w:rsidP="0057799D">
            <w:pPr>
              <w:ind w:left="115"/>
              <w:rPr>
                <w:rFonts w:ascii="Calibri" w:hAnsi="Calibri"/>
                <w:b/>
                <w:sz w:val="22"/>
                <w:szCs w:val="22"/>
              </w:rPr>
            </w:pPr>
            <w:r>
              <w:rPr>
                <w:rFonts w:ascii="Calibri" w:hAnsi="Calibri"/>
                <w:b/>
                <w:sz w:val="22"/>
                <w:szCs w:val="22"/>
              </w:rPr>
              <w:t>OTHER JWP CA BUDGET</w:t>
            </w:r>
          </w:p>
        </w:tc>
        <w:tc>
          <w:tcPr>
            <w:tcW w:w="1064" w:type="dxa"/>
            <w:tcBorders>
              <w:top w:val="single" w:sz="4" w:space="0" w:color="auto"/>
              <w:left w:val="double" w:sz="4" w:space="0" w:color="auto"/>
              <w:bottom w:val="single" w:sz="4" w:space="0" w:color="auto"/>
              <w:right w:val="double" w:sz="4" w:space="0" w:color="auto"/>
            </w:tcBorders>
            <w:vAlign w:val="center"/>
          </w:tcPr>
          <w:p w:rsidR="00DA6297" w:rsidRPr="00DA6297" w:rsidRDefault="00DA6297" w:rsidP="0057799D">
            <w:pPr>
              <w:jc w:val="right"/>
              <w:rPr>
                <w:rFonts w:ascii="Calibri" w:hAnsi="Calibri"/>
                <w:b/>
                <w:sz w:val="22"/>
                <w:szCs w:val="22"/>
              </w:rPr>
            </w:pPr>
            <w:r>
              <w:rPr>
                <w:rFonts w:ascii="Calibri" w:hAnsi="Calibri"/>
                <w:b/>
                <w:sz w:val="22"/>
                <w:szCs w:val="22"/>
              </w:rPr>
              <w:t>$206,000</w:t>
            </w:r>
          </w:p>
        </w:tc>
        <w:tc>
          <w:tcPr>
            <w:tcW w:w="1589" w:type="dxa"/>
            <w:tcBorders>
              <w:left w:val="double" w:sz="4" w:space="0" w:color="auto"/>
            </w:tcBorders>
            <w:vAlign w:val="center"/>
          </w:tcPr>
          <w:p w:rsidR="00DA6297" w:rsidRPr="00DA6297" w:rsidRDefault="00DA6297" w:rsidP="0057799D">
            <w:pPr>
              <w:jc w:val="right"/>
              <w:rPr>
                <w:rFonts w:ascii="Calibri" w:hAnsi="Calibri"/>
                <w:b/>
                <w:sz w:val="22"/>
                <w:szCs w:val="22"/>
              </w:rPr>
            </w:pPr>
            <w:r>
              <w:rPr>
                <w:rFonts w:ascii="Calibri" w:hAnsi="Calibri"/>
                <w:b/>
                <w:sz w:val="22"/>
                <w:szCs w:val="22"/>
              </w:rPr>
              <w:t>$102,000</w:t>
            </w:r>
          </w:p>
        </w:tc>
        <w:tc>
          <w:tcPr>
            <w:tcW w:w="1170" w:type="dxa"/>
            <w:vAlign w:val="center"/>
          </w:tcPr>
          <w:p w:rsidR="00DA6297" w:rsidRPr="00DA6297" w:rsidRDefault="00DA6297" w:rsidP="0057799D">
            <w:pPr>
              <w:jc w:val="right"/>
              <w:rPr>
                <w:rFonts w:ascii="Calibri" w:hAnsi="Calibri"/>
                <w:b/>
                <w:sz w:val="22"/>
                <w:szCs w:val="22"/>
              </w:rPr>
            </w:pPr>
          </w:p>
        </w:tc>
        <w:tc>
          <w:tcPr>
            <w:tcW w:w="1591" w:type="dxa"/>
            <w:vAlign w:val="center"/>
          </w:tcPr>
          <w:p w:rsidR="00DA6297" w:rsidRPr="00DA6297" w:rsidRDefault="00DA6297" w:rsidP="0057799D">
            <w:pPr>
              <w:jc w:val="right"/>
              <w:rPr>
                <w:rFonts w:ascii="Calibri" w:hAnsi="Calibri"/>
                <w:b/>
                <w:sz w:val="22"/>
                <w:szCs w:val="22"/>
              </w:rPr>
            </w:pPr>
          </w:p>
        </w:tc>
        <w:tc>
          <w:tcPr>
            <w:tcW w:w="1393" w:type="dxa"/>
            <w:vAlign w:val="center"/>
          </w:tcPr>
          <w:p w:rsidR="00DA6297" w:rsidRPr="00DA6297" w:rsidRDefault="00DA6297" w:rsidP="0057799D">
            <w:pPr>
              <w:jc w:val="right"/>
              <w:rPr>
                <w:rFonts w:ascii="Calibri" w:hAnsi="Calibri"/>
                <w:b/>
                <w:sz w:val="22"/>
                <w:szCs w:val="22"/>
              </w:rPr>
            </w:pPr>
            <w:r>
              <w:rPr>
                <w:rFonts w:ascii="Calibri" w:hAnsi="Calibri"/>
                <w:b/>
                <w:sz w:val="22"/>
                <w:szCs w:val="22"/>
              </w:rPr>
              <w:t>$104,000</w:t>
            </w:r>
          </w:p>
        </w:tc>
      </w:tr>
      <w:tr w:rsidR="0088411D" w:rsidRPr="00C42AF6" w:rsidTr="00C12789">
        <w:trPr>
          <w:jc w:val="center"/>
        </w:trPr>
        <w:tc>
          <w:tcPr>
            <w:tcW w:w="2999" w:type="dxa"/>
            <w:tcBorders>
              <w:right w:val="double" w:sz="4" w:space="0" w:color="auto"/>
            </w:tcBorders>
            <w:vAlign w:val="center"/>
          </w:tcPr>
          <w:p w:rsidR="0088411D" w:rsidRPr="00C42AF6" w:rsidRDefault="0088411D" w:rsidP="00855420">
            <w:pPr>
              <w:rPr>
                <w:rFonts w:ascii="Calibri" w:hAnsi="Calibri"/>
                <w:b/>
                <w:sz w:val="22"/>
                <w:szCs w:val="22"/>
                <w:u w:val="single"/>
              </w:rPr>
            </w:pPr>
          </w:p>
        </w:tc>
        <w:tc>
          <w:tcPr>
            <w:tcW w:w="1064" w:type="dxa"/>
            <w:tcBorders>
              <w:top w:val="single" w:sz="4" w:space="0" w:color="auto"/>
              <w:left w:val="double" w:sz="4" w:space="0" w:color="auto"/>
              <w:bottom w:val="single" w:sz="4" w:space="0" w:color="auto"/>
              <w:right w:val="double" w:sz="4" w:space="0" w:color="auto"/>
            </w:tcBorders>
            <w:vAlign w:val="center"/>
          </w:tcPr>
          <w:p w:rsidR="0088411D" w:rsidRPr="00C42AF6" w:rsidRDefault="0088411D" w:rsidP="00855420">
            <w:pPr>
              <w:jc w:val="right"/>
              <w:rPr>
                <w:rFonts w:ascii="Calibri" w:hAnsi="Calibri"/>
                <w:sz w:val="22"/>
                <w:szCs w:val="22"/>
              </w:rPr>
            </w:pPr>
          </w:p>
        </w:tc>
        <w:tc>
          <w:tcPr>
            <w:tcW w:w="1589" w:type="dxa"/>
            <w:tcBorders>
              <w:left w:val="double" w:sz="4" w:space="0" w:color="auto"/>
            </w:tcBorders>
            <w:vAlign w:val="center"/>
          </w:tcPr>
          <w:p w:rsidR="0088411D" w:rsidRPr="00C42AF6" w:rsidRDefault="0088411D" w:rsidP="00855420">
            <w:pPr>
              <w:jc w:val="right"/>
              <w:rPr>
                <w:rFonts w:ascii="Calibri" w:hAnsi="Calibri"/>
                <w:sz w:val="22"/>
                <w:szCs w:val="22"/>
              </w:rPr>
            </w:pPr>
          </w:p>
        </w:tc>
        <w:tc>
          <w:tcPr>
            <w:tcW w:w="1170" w:type="dxa"/>
            <w:vAlign w:val="center"/>
          </w:tcPr>
          <w:p w:rsidR="0088411D" w:rsidRPr="00C42AF6" w:rsidRDefault="0088411D" w:rsidP="00855420">
            <w:pPr>
              <w:jc w:val="right"/>
              <w:rPr>
                <w:rFonts w:ascii="Calibri" w:hAnsi="Calibri"/>
                <w:sz w:val="22"/>
                <w:szCs w:val="22"/>
              </w:rPr>
            </w:pPr>
          </w:p>
        </w:tc>
        <w:tc>
          <w:tcPr>
            <w:tcW w:w="1591" w:type="dxa"/>
            <w:vAlign w:val="center"/>
          </w:tcPr>
          <w:p w:rsidR="0088411D" w:rsidRPr="00C42AF6" w:rsidRDefault="0088411D" w:rsidP="00855420">
            <w:pPr>
              <w:jc w:val="right"/>
              <w:rPr>
                <w:rFonts w:ascii="Calibri" w:hAnsi="Calibri"/>
                <w:sz w:val="22"/>
                <w:szCs w:val="22"/>
              </w:rPr>
            </w:pPr>
          </w:p>
        </w:tc>
        <w:tc>
          <w:tcPr>
            <w:tcW w:w="1393" w:type="dxa"/>
            <w:vAlign w:val="center"/>
          </w:tcPr>
          <w:p w:rsidR="0088411D" w:rsidRPr="00C42AF6" w:rsidRDefault="0088411D" w:rsidP="00855420">
            <w:pPr>
              <w:jc w:val="right"/>
              <w:rPr>
                <w:rFonts w:ascii="Calibri" w:hAnsi="Calibri"/>
                <w:sz w:val="22"/>
                <w:szCs w:val="22"/>
              </w:rPr>
            </w:pPr>
          </w:p>
        </w:tc>
      </w:tr>
      <w:tr w:rsidR="0088411D" w:rsidRPr="00C42AF6" w:rsidTr="00C12789">
        <w:trPr>
          <w:jc w:val="center"/>
        </w:trPr>
        <w:tc>
          <w:tcPr>
            <w:tcW w:w="2999" w:type="dxa"/>
            <w:tcBorders>
              <w:right w:val="double" w:sz="4" w:space="0" w:color="auto"/>
            </w:tcBorders>
            <w:vAlign w:val="center"/>
          </w:tcPr>
          <w:p w:rsidR="0088411D" w:rsidRPr="00C42AF6" w:rsidRDefault="0088411D" w:rsidP="0088411D">
            <w:pPr>
              <w:ind w:left="216"/>
              <w:rPr>
                <w:rFonts w:ascii="Calibri" w:hAnsi="Calibri"/>
                <w:sz w:val="22"/>
                <w:szCs w:val="22"/>
              </w:rPr>
            </w:pPr>
          </w:p>
        </w:tc>
        <w:tc>
          <w:tcPr>
            <w:tcW w:w="1064" w:type="dxa"/>
            <w:tcBorders>
              <w:top w:val="single" w:sz="4" w:space="0" w:color="auto"/>
              <w:left w:val="double" w:sz="4" w:space="0" w:color="auto"/>
              <w:bottom w:val="single" w:sz="4" w:space="0" w:color="auto"/>
              <w:right w:val="double" w:sz="4" w:space="0" w:color="auto"/>
            </w:tcBorders>
            <w:vAlign w:val="center"/>
          </w:tcPr>
          <w:p w:rsidR="0088411D" w:rsidRPr="00C42AF6" w:rsidRDefault="0088411D" w:rsidP="00855420">
            <w:pPr>
              <w:jc w:val="right"/>
              <w:rPr>
                <w:rFonts w:ascii="Calibri" w:hAnsi="Calibri"/>
                <w:sz w:val="22"/>
                <w:szCs w:val="22"/>
              </w:rPr>
            </w:pPr>
          </w:p>
        </w:tc>
        <w:tc>
          <w:tcPr>
            <w:tcW w:w="1589" w:type="dxa"/>
            <w:tcBorders>
              <w:left w:val="double" w:sz="4" w:space="0" w:color="auto"/>
            </w:tcBorders>
            <w:vAlign w:val="center"/>
          </w:tcPr>
          <w:p w:rsidR="0088411D" w:rsidRPr="00C42AF6" w:rsidRDefault="0088411D" w:rsidP="00855420">
            <w:pPr>
              <w:jc w:val="right"/>
              <w:rPr>
                <w:rFonts w:ascii="Calibri" w:hAnsi="Calibri"/>
                <w:sz w:val="22"/>
                <w:szCs w:val="22"/>
              </w:rPr>
            </w:pPr>
          </w:p>
        </w:tc>
        <w:tc>
          <w:tcPr>
            <w:tcW w:w="1170" w:type="dxa"/>
            <w:vAlign w:val="center"/>
          </w:tcPr>
          <w:p w:rsidR="0088411D" w:rsidRPr="00C42AF6" w:rsidRDefault="0088411D" w:rsidP="00855420">
            <w:pPr>
              <w:jc w:val="right"/>
              <w:rPr>
                <w:rFonts w:ascii="Calibri" w:hAnsi="Calibri"/>
                <w:sz w:val="22"/>
                <w:szCs w:val="22"/>
              </w:rPr>
            </w:pPr>
          </w:p>
        </w:tc>
        <w:tc>
          <w:tcPr>
            <w:tcW w:w="1591" w:type="dxa"/>
            <w:vAlign w:val="center"/>
          </w:tcPr>
          <w:p w:rsidR="0088411D" w:rsidRPr="00C42AF6" w:rsidRDefault="0088411D" w:rsidP="00855420">
            <w:pPr>
              <w:jc w:val="right"/>
              <w:rPr>
                <w:rFonts w:ascii="Calibri" w:hAnsi="Calibri"/>
                <w:sz w:val="22"/>
                <w:szCs w:val="22"/>
              </w:rPr>
            </w:pPr>
          </w:p>
        </w:tc>
        <w:tc>
          <w:tcPr>
            <w:tcW w:w="1393" w:type="dxa"/>
            <w:vAlign w:val="center"/>
          </w:tcPr>
          <w:p w:rsidR="0088411D" w:rsidRPr="00C42AF6" w:rsidRDefault="0088411D" w:rsidP="00855420">
            <w:pPr>
              <w:jc w:val="right"/>
              <w:rPr>
                <w:rFonts w:ascii="Calibri" w:hAnsi="Calibri"/>
                <w:sz w:val="22"/>
                <w:szCs w:val="22"/>
              </w:rPr>
            </w:pPr>
          </w:p>
        </w:tc>
      </w:tr>
      <w:tr w:rsidR="0088411D" w:rsidRPr="00C42AF6" w:rsidTr="00C12789">
        <w:trPr>
          <w:jc w:val="center"/>
        </w:trPr>
        <w:tc>
          <w:tcPr>
            <w:tcW w:w="2999" w:type="dxa"/>
            <w:tcBorders>
              <w:right w:val="double" w:sz="4" w:space="0" w:color="auto"/>
            </w:tcBorders>
            <w:vAlign w:val="center"/>
          </w:tcPr>
          <w:p w:rsidR="0088411D" w:rsidRPr="00C42AF6" w:rsidRDefault="0088411D" w:rsidP="0088411D">
            <w:pPr>
              <w:ind w:left="216"/>
              <w:rPr>
                <w:rFonts w:ascii="Calibri" w:hAnsi="Calibri"/>
                <w:sz w:val="22"/>
                <w:szCs w:val="22"/>
              </w:rPr>
            </w:pPr>
          </w:p>
        </w:tc>
        <w:tc>
          <w:tcPr>
            <w:tcW w:w="1064" w:type="dxa"/>
            <w:tcBorders>
              <w:top w:val="single" w:sz="4" w:space="0" w:color="auto"/>
              <w:left w:val="double" w:sz="4" w:space="0" w:color="auto"/>
              <w:bottom w:val="single" w:sz="4" w:space="0" w:color="auto"/>
              <w:right w:val="double" w:sz="4" w:space="0" w:color="auto"/>
            </w:tcBorders>
            <w:vAlign w:val="center"/>
          </w:tcPr>
          <w:p w:rsidR="0088411D" w:rsidRPr="00C42AF6" w:rsidRDefault="0088411D" w:rsidP="00855420">
            <w:pPr>
              <w:jc w:val="right"/>
              <w:rPr>
                <w:rFonts w:ascii="Calibri" w:hAnsi="Calibri"/>
                <w:sz w:val="22"/>
                <w:szCs w:val="22"/>
              </w:rPr>
            </w:pPr>
          </w:p>
        </w:tc>
        <w:tc>
          <w:tcPr>
            <w:tcW w:w="1589" w:type="dxa"/>
            <w:tcBorders>
              <w:left w:val="double" w:sz="4" w:space="0" w:color="auto"/>
            </w:tcBorders>
            <w:vAlign w:val="center"/>
          </w:tcPr>
          <w:p w:rsidR="0088411D" w:rsidRPr="00C42AF6" w:rsidRDefault="0088411D" w:rsidP="00855420">
            <w:pPr>
              <w:jc w:val="right"/>
              <w:rPr>
                <w:rFonts w:ascii="Calibri" w:hAnsi="Calibri"/>
                <w:sz w:val="22"/>
                <w:szCs w:val="22"/>
              </w:rPr>
            </w:pPr>
          </w:p>
        </w:tc>
        <w:tc>
          <w:tcPr>
            <w:tcW w:w="1170" w:type="dxa"/>
            <w:vAlign w:val="center"/>
          </w:tcPr>
          <w:p w:rsidR="0088411D" w:rsidRPr="00C42AF6" w:rsidRDefault="0088411D" w:rsidP="00855420">
            <w:pPr>
              <w:jc w:val="right"/>
              <w:rPr>
                <w:rFonts w:ascii="Calibri" w:hAnsi="Calibri"/>
                <w:sz w:val="22"/>
                <w:szCs w:val="22"/>
              </w:rPr>
            </w:pPr>
          </w:p>
        </w:tc>
        <w:tc>
          <w:tcPr>
            <w:tcW w:w="1591" w:type="dxa"/>
            <w:vAlign w:val="center"/>
          </w:tcPr>
          <w:p w:rsidR="0088411D" w:rsidRPr="00C42AF6" w:rsidRDefault="0088411D" w:rsidP="00855420">
            <w:pPr>
              <w:jc w:val="right"/>
              <w:rPr>
                <w:rFonts w:ascii="Calibri" w:hAnsi="Calibri"/>
                <w:sz w:val="22"/>
                <w:szCs w:val="22"/>
              </w:rPr>
            </w:pPr>
          </w:p>
        </w:tc>
        <w:tc>
          <w:tcPr>
            <w:tcW w:w="1393" w:type="dxa"/>
            <w:vAlign w:val="center"/>
          </w:tcPr>
          <w:p w:rsidR="0088411D" w:rsidRPr="00C42AF6" w:rsidRDefault="0088411D" w:rsidP="00855420">
            <w:pPr>
              <w:jc w:val="right"/>
              <w:rPr>
                <w:rFonts w:ascii="Calibri" w:hAnsi="Calibri"/>
                <w:sz w:val="22"/>
                <w:szCs w:val="22"/>
              </w:rPr>
            </w:pPr>
          </w:p>
        </w:tc>
      </w:tr>
      <w:tr w:rsidR="0088411D" w:rsidRPr="00C42AF6" w:rsidTr="00C12789">
        <w:trPr>
          <w:jc w:val="center"/>
        </w:trPr>
        <w:tc>
          <w:tcPr>
            <w:tcW w:w="2999" w:type="dxa"/>
            <w:tcBorders>
              <w:right w:val="double" w:sz="4" w:space="0" w:color="auto"/>
            </w:tcBorders>
            <w:shd w:val="clear" w:color="auto" w:fill="C0C0C0"/>
          </w:tcPr>
          <w:p w:rsidR="0088411D" w:rsidRPr="00C42AF6" w:rsidRDefault="0088411D" w:rsidP="00855420">
            <w:pPr>
              <w:rPr>
                <w:rFonts w:ascii="Calibri" w:hAnsi="Calibri"/>
                <w:b/>
                <w:sz w:val="22"/>
                <w:szCs w:val="22"/>
              </w:rPr>
            </w:pPr>
          </w:p>
        </w:tc>
        <w:tc>
          <w:tcPr>
            <w:tcW w:w="1064" w:type="dxa"/>
            <w:tcBorders>
              <w:top w:val="single" w:sz="4" w:space="0" w:color="auto"/>
              <w:left w:val="double" w:sz="4" w:space="0" w:color="auto"/>
              <w:bottom w:val="single" w:sz="4" w:space="0" w:color="auto"/>
              <w:right w:val="double" w:sz="4" w:space="0" w:color="auto"/>
            </w:tcBorders>
            <w:shd w:val="clear" w:color="auto" w:fill="C0C0C0"/>
            <w:vAlign w:val="center"/>
          </w:tcPr>
          <w:p w:rsidR="0088411D" w:rsidRPr="00C42AF6" w:rsidRDefault="0088411D" w:rsidP="00855420">
            <w:pPr>
              <w:jc w:val="right"/>
              <w:rPr>
                <w:rFonts w:ascii="Calibri" w:hAnsi="Calibri"/>
                <w:b/>
                <w:sz w:val="22"/>
                <w:szCs w:val="22"/>
              </w:rPr>
            </w:pPr>
          </w:p>
        </w:tc>
        <w:tc>
          <w:tcPr>
            <w:tcW w:w="1589" w:type="dxa"/>
            <w:tcBorders>
              <w:left w:val="double" w:sz="4" w:space="0" w:color="auto"/>
              <w:bottom w:val="single" w:sz="4" w:space="0" w:color="auto"/>
            </w:tcBorders>
            <w:shd w:val="clear" w:color="auto" w:fill="C0C0C0"/>
            <w:vAlign w:val="center"/>
          </w:tcPr>
          <w:p w:rsidR="0088411D" w:rsidRPr="00C42AF6" w:rsidRDefault="0088411D" w:rsidP="00855420">
            <w:pPr>
              <w:jc w:val="right"/>
              <w:rPr>
                <w:rFonts w:ascii="Calibri" w:hAnsi="Calibri"/>
                <w:b/>
                <w:sz w:val="22"/>
                <w:szCs w:val="22"/>
              </w:rPr>
            </w:pPr>
          </w:p>
        </w:tc>
        <w:tc>
          <w:tcPr>
            <w:tcW w:w="1170" w:type="dxa"/>
            <w:tcBorders>
              <w:bottom w:val="single" w:sz="4" w:space="0" w:color="auto"/>
            </w:tcBorders>
            <w:shd w:val="clear" w:color="auto" w:fill="C0C0C0"/>
            <w:vAlign w:val="center"/>
          </w:tcPr>
          <w:p w:rsidR="0088411D" w:rsidRPr="00C42AF6" w:rsidRDefault="0088411D" w:rsidP="00855420">
            <w:pPr>
              <w:jc w:val="right"/>
              <w:rPr>
                <w:rFonts w:ascii="Calibri" w:hAnsi="Calibri"/>
                <w:b/>
                <w:sz w:val="22"/>
                <w:szCs w:val="22"/>
              </w:rPr>
            </w:pPr>
          </w:p>
        </w:tc>
        <w:tc>
          <w:tcPr>
            <w:tcW w:w="1591" w:type="dxa"/>
            <w:tcBorders>
              <w:bottom w:val="single" w:sz="4" w:space="0" w:color="auto"/>
            </w:tcBorders>
            <w:shd w:val="clear" w:color="auto" w:fill="C0C0C0"/>
            <w:vAlign w:val="center"/>
          </w:tcPr>
          <w:p w:rsidR="0088411D" w:rsidRPr="00C42AF6" w:rsidRDefault="0088411D" w:rsidP="00855420">
            <w:pPr>
              <w:jc w:val="right"/>
              <w:rPr>
                <w:rFonts w:ascii="Calibri" w:hAnsi="Calibri"/>
                <w:b/>
                <w:sz w:val="22"/>
                <w:szCs w:val="22"/>
              </w:rPr>
            </w:pPr>
          </w:p>
        </w:tc>
        <w:tc>
          <w:tcPr>
            <w:tcW w:w="1393" w:type="dxa"/>
            <w:shd w:val="clear" w:color="auto" w:fill="C0C0C0"/>
            <w:vAlign w:val="center"/>
          </w:tcPr>
          <w:p w:rsidR="0088411D" w:rsidRPr="00C42AF6" w:rsidRDefault="0088411D" w:rsidP="00855420">
            <w:pPr>
              <w:jc w:val="right"/>
              <w:rPr>
                <w:rFonts w:ascii="Calibri" w:hAnsi="Calibri"/>
                <w:b/>
                <w:sz w:val="22"/>
                <w:szCs w:val="22"/>
              </w:rPr>
            </w:pPr>
          </w:p>
        </w:tc>
      </w:tr>
      <w:tr w:rsidR="0088411D" w:rsidRPr="00C42AF6" w:rsidTr="00C12789">
        <w:trPr>
          <w:jc w:val="center"/>
        </w:trPr>
        <w:tc>
          <w:tcPr>
            <w:tcW w:w="2999" w:type="dxa"/>
            <w:tcBorders>
              <w:right w:val="double" w:sz="4" w:space="0" w:color="auto"/>
            </w:tcBorders>
          </w:tcPr>
          <w:p w:rsidR="0088411D" w:rsidRPr="00C42AF6" w:rsidRDefault="0088411D" w:rsidP="00855420">
            <w:pPr>
              <w:rPr>
                <w:rFonts w:ascii="Calibri" w:hAnsi="Calibri"/>
                <w:sz w:val="22"/>
                <w:szCs w:val="22"/>
              </w:rPr>
            </w:pPr>
          </w:p>
        </w:tc>
        <w:tc>
          <w:tcPr>
            <w:tcW w:w="1064" w:type="dxa"/>
            <w:tcBorders>
              <w:top w:val="single" w:sz="4" w:space="0" w:color="auto"/>
              <w:left w:val="double" w:sz="4" w:space="0" w:color="auto"/>
              <w:bottom w:val="single" w:sz="4" w:space="0" w:color="auto"/>
              <w:right w:val="double" w:sz="4" w:space="0" w:color="auto"/>
            </w:tcBorders>
            <w:vAlign w:val="center"/>
          </w:tcPr>
          <w:p w:rsidR="0088411D" w:rsidRPr="00C42AF6" w:rsidRDefault="0088411D" w:rsidP="00855420">
            <w:pPr>
              <w:jc w:val="right"/>
              <w:rPr>
                <w:rFonts w:ascii="Calibri" w:hAnsi="Calibri"/>
                <w:sz w:val="22"/>
                <w:szCs w:val="22"/>
              </w:rPr>
            </w:pPr>
          </w:p>
        </w:tc>
        <w:tc>
          <w:tcPr>
            <w:tcW w:w="1589" w:type="dxa"/>
            <w:tcBorders>
              <w:left w:val="double" w:sz="4" w:space="0" w:color="auto"/>
              <w:bottom w:val="single" w:sz="4" w:space="0" w:color="auto"/>
            </w:tcBorders>
            <w:shd w:val="pct25" w:color="auto" w:fill="auto"/>
            <w:vAlign w:val="center"/>
          </w:tcPr>
          <w:p w:rsidR="0088411D" w:rsidRPr="00C42AF6" w:rsidRDefault="0088411D" w:rsidP="00855420">
            <w:pPr>
              <w:jc w:val="right"/>
              <w:rPr>
                <w:rFonts w:ascii="Calibri" w:hAnsi="Calibri"/>
                <w:b/>
                <w:sz w:val="22"/>
                <w:szCs w:val="22"/>
              </w:rPr>
            </w:pPr>
          </w:p>
        </w:tc>
        <w:tc>
          <w:tcPr>
            <w:tcW w:w="1170" w:type="dxa"/>
            <w:tcBorders>
              <w:bottom w:val="single" w:sz="4" w:space="0" w:color="auto"/>
            </w:tcBorders>
            <w:shd w:val="pct25" w:color="auto" w:fill="auto"/>
            <w:vAlign w:val="center"/>
          </w:tcPr>
          <w:p w:rsidR="0088411D" w:rsidRPr="00C42AF6" w:rsidRDefault="0088411D" w:rsidP="00855420">
            <w:pPr>
              <w:jc w:val="right"/>
              <w:rPr>
                <w:rFonts w:ascii="Calibri" w:hAnsi="Calibri"/>
                <w:b/>
                <w:sz w:val="22"/>
                <w:szCs w:val="22"/>
              </w:rPr>
            </w:pPr>
          </w:p>
        </w:tc>
        <w:tc>
          <w:tcPr>
            <w:tcW w:w="1591" w:type="dxa"/>
            <w:tcBorders>
              <w:bottom w:val="single" w:sz="4" w:space="0" w:color="auto"/>
            </w:tcBorders>
            <w:shd w:val="pct25" w:color="auto" w:fill="auto"/>
            <w:vAlign w:val="center"/>
          </w:tcPr>
          <w:p w:rsidR="0088411D" w:rsidRPr="00C42AF6" w:rsidRDefault="0088411D" w:rsidP="00855420">
            <w:pPr>
              <w:jc w:val="right"/>
              <w:rPr>
                <w:rFonts w:ascii="Calibri" w:hAnsi="Calibri"/>
                <w:b/>
                <w:sz w:val="22"/>
                <w:szCs w:val="22"/>
              </w:rPr>
            </w:pPr>
          </w:p>
        </w:tc>
        <w:tc>
          <w:tcPr>
            <w:tcW w:w="1393" w:type="dxa"/>
            <w:vAlign w:val="center"/>
          </w:tcPr>
          <w:p w:rsidR="0088411D" w:rsidRPr="00C42AF6" w:rsidRDefault="0088411D" w:rsidP="00855420">
            <w:pPr>
              <w:jc w:val="right"/>
              <w:rPr>
                <w:rFonts w:ascii="Calibri" w:hAnsi="Calibri"/>
                <w:b/>
                <w:sz w:val="22"/>
                <w:szCs w:val="22"/>
              </w:rPr>
            </w:pPr>
          </w:p>
        </w:tc>
      </w:tr>
      <w:tr w:rsidR="0088411D" w:rsidRPr="00C42AF6" w:rsidTr="00C12789">
        <w:trPr>
          <w:jc w:val="center"/>
        </w:trPr>
        <w:tc>
          <w:tcPr>
            <w:tcW w:w="2999" w:type="dxa"/>
            <w:tcBorders>
              <w:top w:val="single" w:sz="4" w:space="0" w:color="auto"/>
              <w:bottom w:val="double" w:sz="4" w:space="0" w:color="auto"/>
              <w:right w:val="double" w:sz="4" w:space="0" w:color="auto"/>
            </w:tcBorders>
          </w:tcPr>
          <w:p w:rsidR="0088411D" w:rsidRPr="00C42AF6" w:rsidRDefault="0088411D" w:rsidP="00855420">
            <w:pPr>
              <w:rPr>
                <w:rFonts w:ascii="Calibri" w:hAnsi="Calibri"/>
                <w:i/>
                <w:sz w:val="22"/>
                <w:szCs w:val="22"/>
              </w:rPr>
            </w:pPr>
          </w:p>
        </w:tc>
        <w:tc>
          <w:tcPr>
            <w:tcW w:w="1064" w:type="dxa"/>
            <w:tcBorders>
              <w:top w:val="single" w:sz="4" w:space="0" w:color="auto"/>
              <w:left w:val="double" w:sz="4" w:space="0" w:color="auto"/>
              <w:bottom w:val="double" w:sz="4" w:space="0" w:color="auto"/>
              <w:right w:val="double" w:sz="4" w:space="0" w:color="auto"/>
            </w:tcBorders>
            <w:vAlign w:val="center"/>
          </w:tcPr>
          <w:p w:rsidR="0088411D" w:rsidRPr="00C42AF6" w:rsidRDefault="0088411D" w:rsidP="00855420">
            <w:pPr>
              <w:jc w:val="right"/>
              <w:rPr>
                <w:rFonts w:ascii="Calibri" w:hAnsi="Calibri"/>
                <w:i/>
                <w:sz w:val="22"/>
                <w:szCs w:val="22"/>
              </w:rPr>
            </w:pPr>
          </w:p>
        </w:tc>
        <w:tc>
          <w:tcPr>
            <w:tcW w:w="1589" w:type="dxa"/>
            <w:tcBorders>
              <w:top w:val="single" w:sz="4" w:space="0" w:color="auto"/>
              <w:left w:val="double" w:sz="4" w:space="0" w:color="auto"/>
              <w:bottom w:val="single" w:sz="4" w:space="0" w:color="auto"/>
            </w:tcBorders>
            <w:shd w:val="pct25" w:color="auto" w:fill="auto"/>
            <w:vAlign w:val="center"/>
          </w:tcPr>
          <w:p w:rsidR="0088411D" w:rsidRPr="00C42AF6" w:rsidRDefault="0088411D" w:rsidP="00855420">
            <w:pPr>
              <w:jc w:val="right"/>
              <w:rPr>
                <w:rFonts w:ascii="Calibri" w:hAnsi="Calibri"/>
                <w:i/>
                <w:sz w:val="22"/>
                <w:szCs w:val="22"/>
              </w:rPr>
            </w:pPr>
          </w:p>
        </w:tc>
        <w:tc>
          <w:tcPr>
            <w:tcW w:w="1170" w:type="dxa"/>
            <w:tcBorders>
              <w:top w:val="single" w:sz="4" w:space="0" w:color="auto"/>
              <w:bottom w:val="single" w:sz="4" w:space="0" w:color="auto"/>
            </w:tcBorders>
            <w:shd w:val="pct25" w:color="auto" w:fill="auto"/>
            <w:vAlign w:val="center"/>
          </w:tcPr>
          <w:p w:rsidR="0088411D" w:rsidRPr="00C42AF6" w:rsidRDefault="0088411D" w:rsidP="00855420">
            <w:pPr>
              <w:jc w:val="right"/>
              <w:rPr>
                <w:rFonts w:ascii="Calibri" w:hAnsi="Calibri"/>
                <w:i/>
                <w:sz w:val="22"/>
                <w:szCs w:val="22"/>
              </w:rPr>
            </w:pPr>
          </w:p>
        </w:tc>
        <w:tc>
          <w:tcPr>
            <w:tcW w:w="1591" w:type="dxa"/>
            <w:tcBorders>
              <w:top w:val="single" w:sz="4" w:space="0" w:color="auto"/>
              <w:bottom w:val="single" w:sz="4" w:space="0" w:color="auto"/>
            </w:tcBorders>
            <w:shd w:val="pct25" w:color="auto" w:fill="auto"/>
            <w:vAlign w:val="center"/>
          </w:tcPr>
          <w:p w:rsidR="0088411D" w:rsidRPr="00C42AF6" w:rsidRDefault="0088411D" w:rsidP="00855420">
            <w:pPr>
              <w:jc w:val="right"/>
              <w:rPr>
                <w:rFonts w:ascii="Calibri" w:hAnsi="Calibri"/>
                <w:i/>
                <w:sz w:val="22"/>
                <w:szCs w:val="22"/>
              </w:rPr>
            </w:pPr>
          </w:p>
        </w:tc>
        <w:tc>
          <w:tcPr>
            <w:tcW w:w="1393" w:type="dxa"/>
            <w:tcBorders>
              <w:top w:val="single" w:sz="4" w:space="0" w:color="auto"/>
              <w:bottom w:val="double" w:sz="4" w:space="0" w:color="auto"/>
            </w:tcBorders>
            <w:vAlign w:val="center"/>
          </w:tcPr>
          <w:p w:rsidR="0088411D" w:rsidRPr="00C42AF6" w:rsidRDefault="0088411D" w:rsidP="00855420">
            <w:pPr>
              <w:jc w:val="right"/>
              <w:rPr>
                <w:rFonts w:ascii="Calibri" w:hAnsi="Calibri"/>
                <w:i/>
                <w:sz w:val="22"/>
                <w:szCs w:val="22"/>
              </w:rPr>
            </w:pPr>
          </w:p>
        </w:tc>
      </w:tr>
      <w:tr w:rsidR="0088411D" w:rsidRPr="00C42AF6" w:rsidTr="00C12789">
        <w:trPr>
          <w:jc w:val="center"/>
        </w:trPr>
        <w:tc>
          <w:tcPr>
            <w:tcW w:w="2999" w:type="dxa"/>
            <w:tcBorders>
              <w:top w:val="double" w:sz="4" w:space="0" w:color="auto"/>
              <w:left w:val="single" w:sz="4" w:space="0" w:color="auto"/>
              <w:bottom w:val="double" w:sz="4" w:space="0" w:color="auto"/>
              <w:right w:val="double" w:sz="4" w:space="0" w:color="auto"/>
            </w:tcBorders>
          </w:tcPr>
          <w:p w:rsidR="0088411D" w:rsidRPr="00C42AF6" w:rsidRDefault="0088411D" w:rsidP="00855420">
            <w:pPr>
              <w:rPr>
                <w:rFonts w:ascii="Calibri" w:hAnsi="Calibri"/>
                <w:b/>
                <w:sz w:val="22"/>
                <w:szCs w:val="22"/>
              </w:rPr>
            </w:pPr>
            <w:r w:rsidRPr="00C42AF6">
              <w:rPr>
                <w:rFonts w:ascii="Calibri" w:hAnsi="Calibri"/>
                <w:b/>
                <w:sz w:val="22"/>
                <w:szCs w:val="22"/>
              </w:rPr>
              <w:t>TOTAL –CA Activity Budget</w:t>
            </w:r>
            <w:r w:rsidR="00DA6297">
              <w:rPr>
                <w:rFonts w:ascii="Calibri" w:hAnsi="Calibri"/>
                <w:b/>
                <w:sz w:val="22"/>
                <w:szCs w:val="22"/>
              </w:rPr>
              <w:t xml:space="preserve"> for 2012 JWP</w:t>
            </w:r>
          </w:p>
          <w:p w:rsidR="0088411D" w:rsidRPr="00C42AF6" w:rsidRDefault="0088411D" w:rsidP="00855420">
            <w:pPr>
              <w:rPr>
                <w:rFonts w:ascii="Calibri" w:hAnsi="Calibri"/>
                <w:b/>
                <w:sz w:val="22"/>
                <w:szCs w:val="22"/>
              </w:rPr>
            </w:pPr>
          </w:p>
        </w:tc>
        <w:tc>
          <w:tcPr>
            <w:tcW w:w="1064" w:type="dxa"/>
            <w:tcBorders>
              <w:top w:val="double" w:sz="4" w:space="0" w:color="auto"/>
              <w:left w:val="double" w:sz="4" w:space="0" w:color="auto"/>
              <w:bottom w:val="double" w:sz="4" w:space="0" w:color="auto"/>
              <w:right w:val="double" w:sz="4" w:space="0" w:color="auto"/>
            </w:tcBorders>
            <w:vAlign w:val="center"/>
          </w:tcPr>
          <w:p w:rsidR="0088411D" w:rsidRPr="00C42AF6" w:rsidRDefault="00DA6297" w:rsidP="00855420">
            <w:pPr>
              <w:jc w:val="right"/>
              <w:rPr>
                <w:rFonts w:ascii="Calibri" w:hAnsi="Calibri"/>
                <w:b/>
                <w:sz w:val="22"/>
                <w:szCs w:val="22"/>
              </w:rPr>
            </w:pPr>
            <w:r>
              <w:rPr>
                <w:rFonts w:ascii="Calibri" w:hAnsi="Calibri"/>
                <w:b/>
                <w:sz w:val="22"/>
                <w:szCs w:val="22"/>
              </w:rPr>
              <w:t>$450,000</w:t>
            </w:r>
          </w:p>
        </w:tc>
        <w:tc>
          <w:tcPr>
            <w:tcW w:w="1589" w:type="dxa"/>
            <w:tcBorders>
              <w:top w:val="single" w:sz="4" w:space="0" w:color="auto"/>
              <w:left w:val="double" w:sz="4" w:space="0" w:color="auto"/>
              <w:bottom w:val="double" w:sz="4" w:space="0" w:color="auto"/>
              <w:right w:val="double" w:sz="4" w:space="0" w:color="auto"/>
            </w:tcBorders>
            <w:vAlign w:val="center"/>
          </w:tcPr>
          <w:p w:rsidR="0088411D" w:rsidRPr="00C42AF6" w:rsidRDefault="00DA6297" w:rsidP="00855420">
            <w:pPr>
              <w:jc w:val="right"/>
              <w:rPr>
                <w:rFonts w:ascii="Calibri" w:hAnsi="Calibri"/>
                <w:b/>
                <w:sz w:val="22"/>
                <w:szCs w:val="22"/>
              </w:rPr>
            </w:pPr>
            <w:r>
              <w:rPr>
                <w:rFonts w:ascii="Calibri" w:hAnsi="Calibri"/>
                <w:b/>
                <w:sz w:val="22"/>
                <w:szCs w:val="22"/>
              </w:rPr>
              <w:t>$212,000</w:t>
            </w:r>
          </w:p>
        </w:tc>
        <w:tc>
          <w:tcPr>
            <w:tcW w:w="1170" w:type="dxa"/>
            <w:tcBorders>
              <w:top w:val="single" w:sz="4" w:space="0" w:color="auto"/>
              <w:left w:val="double" w:sz="4" w:space="0" w:color="auto"/>
              <w:bottom w:val="double" w:sz="4" w:space="0" w:color="auto"/>
              <w:right w:val="single" w:sz="4" w:space="0" w:color="auto"/>
            </w:tcBorders>
            <w:vAlign w:val="center"/>
          </w:tcPr>
          <w:p w:rsidR="0088411D" w:rsidRPr="00C42AF6" w:rsidRDefault="0088411D" w:rsidP="00A74566">
            <w:pPr>
              <w:jc w:val="center"/>
              <w:rPr>
                <w:rFonts w:ascii="Calibri" w:hAnsi="Calibri"/>
                <w:b/>
                <w:sz w:val="22"/>
                <w:szCs w:val="22"/>
              </w:rPr>
            </w:pPr>
          </w:p>
        </w:tc>
        <w:tc>
          <w:tcPr>
            <w:tcW w:w="1591" w:type="dxa"/>
            <w:tcBorders>
              <w:top w:val="single" w:sz="4" w:space="0" w:color="auto"/>
              <w:left w:val="single" w:sz="4" w:space="0" w:color="auto"/>
              <w:bottom w:val="double" w:sz="4" w:space="0" w:color="auto"/>
              <w:right w:val="nil"/>
            </w:tcBorders>
            <w:vAlign w:val="center"/>
          </w:tcPr>
          <w:p w:rsidR="0088411D" w:rsidRPr="00C42AF6" w:rsidRDefault="00DA6297" w:rsidP="00855420">
            <w:pPr>
              <w:jc w:val="right"/>
              <w:rPr>
                <w:rFonts w:ascii="Calibri" w:hAnsi="Calibri"/>
                <w:b/>
                <w:sz w:val="22"/>
                <w:szCs w:val="22"/>
              </w:rPr>
            </w:pPr>
            <w:r>
              <w:rPr>
                <w:rFonts w:ascii="Calibri" w:hAnsi="Calibri"/>
                <w:b/>
                <w:sz w:val="22"/>
                <w:szCs w:val="22"/>
              </w:rPr>
              <w:t>$47,000</w:t>
            </w:r>
          </w:p>
        </w:tc>
        <w:tc>
          <w:tcPr>
            <w:tcW w:w="1393" w:type="dxa"/>
            <w:tcBorders>
              <w:top w:val="double" w:sz="4" w:space="0" w:color="auto"/>
              <w:left w:val="nil"/>
              <w:bottom w:val="double" w:sz="4" w:space="0" w:color="auto"/>
              <w:right w:val="single" w:sz="4" w:space="0" w:color="auto"/>
            </w:tcBorders>
            <w:vAlign w:val="center"/>
          </w:tcPr>
          <w:p w:rsidR="0088411D" w:rsidRPr="00C42AF6" w:rsidRDefault="00DA6297" w:rsidP="00855420">
            <w:pPr>
              <w:jc w:val="right"/>
              <w:rPr>
                <w:rFonts w:ascii="Calibri" w:hAnsi="Calibri"/>
                <w:b/>
                <w:sz w:val="22"/>
                <w:szCs w:val="22"/>
              </w:rPr>
            </w:pPr>
            <w:r>
              <w:rPr>
                <w:rFonts w:ascii="Calibri" w:hAnsi="Calibri"/>
                <w:b/>
                <w:sz w:val="22"/>
                <w:szCs w:val="22"/>
              </w:rPr>
              <w:t>$191,000</w:t>
            </w:r>
          </w:p>
        </w:tc>
      </w:tr>
    </w:tbl>
    <w:p w:rsidR="008A5E7F" w:rsidRPr="00C42AF6" w:rsidRDefault="008A5E7F">
      <w:pPr>
        <w:rPr>
          <w:rFonts w:ascii="Calibri" w:hAnsi="Calibri"/>
          <w:sz w:val="22"/>
          <w:szCs w:val="22"/>
        </w:rPr>
      </w:pPr>
    </w:p>
    <w:p w:rsidR="00D1544F" w:rsidRPr="00C42AF6" w:rsidRDefault="00D1544F">
      <w:pPr>
        <w:rPr>
          <w:rFonts w:ascii="Calibri" w:hAnsi="Calibri"/>
          <w:sz w:val="22"/>
          <w:szCs w:val="22"/>
        </w:rPr>
      </w:pPr>
    </w:p>
    <w:p w:rsidR="003824E1" w:rsidRDefault="00D51933" w:rsidP="00694CA8">
      <w:pPr>
        <w:jc w:val="both"/>
        <w:rPr>
          <w:rFonts w:ascii="Calibri" w:hAnsi="Calibri"/>
          <w:b/>
          <w:sz w:val="22"/>
          <w:szCs w:val="22"/>
          <w:u w:val="single"/>
        </w:rPr>
      </w:pPr>
      <w:r>
        <w:rPr>
          <w:rFonts w:ascii="Calibri" w:hAnsi="Calibri"/>
          <w:b/>
          <w:sz w:val="22"/>
          <w:szCs w:val="22"/>
          <w:u w:val="single"/>
        </w:rPr>
        <w:t>1</w:t>
      </w:r>
      <w:r w:rsidR="00CA7074">
        <w:rPr>
          <w:rFonts w:ascii="Calibri" w:hAnsi="Calibri"/>
          <w:b/>
          <w:sz w:val="22"/>
          <w:szCs w:val="22"/>
          <w:u w:val="single"/>
        </w:rPr>
        <w:t>5</w:t>
      </w:r>
      <w:r w:rsidR="00C42AF6" w:rsidRPr="00C42AF6">
        <w:rPr>
          <w:rFonts w:ascii="Calibri" w:hAnsi="Calibri"/>
          <w:b/>
          <w:sz w:val="22"/>
          <w:szCs w:val="22"/>
          <w:u w:val="single"/>
        </w:rPr>
        <w:t>.</w:t>
      </w:r>
      <w:r w:rsidR="00C12789" w:rsidRPr="00C42AF6">
        <w:rPr>
          <w:rFonts w:ascii="Calibri" w:hAnsi="Calibri"/>
          <w:b/>
          <w:sz w:val="22"/>
          <w:szCs w:val="22"/>
          <w:u w:val="single"/>
        </w:rPr>
        <w:t xml:space="preserve">) </w:t>
      </w:r>
      <w:r w:rsidR="003824E1" w:rsidRPr="00C42AF6">
        <w:rPr>
          <w:rFonts w:ascii="Calibri" w:hAnsi="Calibri"/>
          <w:b/>
          <w:sz w:val="22"/>
          <w:szCs w:val="22"/>
          <w:u w:val="single"/>
        </w:rPr>
        <w:t>Co-Financing</w:t>
      </w:r>
    </w:p>
    <w:p w:rsidR="00C42AF6" w:rsidRPr="00C42AF6" w:rsidRDefault="00C42AF6" w:rsidP="00694CA8">
      <w:pPr>
        <w:jc w:val="both"/>
        <w:rPr>
          <w:rFonts w:ascii="Calibri" w:hAnsi="Calibri"/>
          <w:b/>
          <w:sz w:val="22"/>
          <w:szCs w:val="22"/>
          <w:u w:val="single"/>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4140"/>
      </w:tblGrid>
      <w:tr w:rsidR="003824E1" w:rsidRPr="00C42AF6" w:rsidTr="0005375A">
        <w:tc>
          <w:tcPr>
            <w:tcW w:w="5670" w:type="dxa"/>
          </w:tcPr>
          <w:p w:rsidR="003824E1" w:rsidRPr="00C42AF6" w:rsidRDefault="003824E1" w:rsidP="003824E1">
            <w:pPr>
              <w:rPr>
                <w:rFonts w:ascii="Calibri" w:hAnsi="Calibri"/>
                <w:b/>
                <w:sz w:val="22"/>
                <w:szCs w:val="22"/>
              </w:rPr>
            </w:pPr>
            <w:r w:rsidRPr="00C42AF6">
              <w:rPr>
                <w:rFonts w:ascii="Calibri" w:hAnsi="Calibri"/>
                <w:b/>
                <w:sz w:val="22"/>
                <w:szCs w:val="22"/>
              </w:rPr>
              <w:t>Co-financing Source</w:t>
            </w:r>
          </w:p>
        </w:tc>
        <w:tc>
          <w:tcPr>
            <w:tcW w:w="4140" w:type="dxa"/>
          </w:tcPr>
          <w:p w:rsidR="003824E1" w:rsidRPr="00C42AF6" w:rsidRDefault="0088411D" w:rsidP="003824E1">
            <w:pPr>
              <w:rPr>
                <w:rFonts w:ascii="Calibri" w:hAnsi="Calibri"/>
                <w:i/>
                <w:sz w:val="22"/>
                <w:szCs w:val="22"/>
              </w:rPr>
            </w:pPr>
            <w:r w:rsidRPr="00C42AF6">
              <w:rPr>
                <w:rFonts w:ascii="Calibri" w:hAnsi="Calibri"/>
                <w:b/>
                <w:sz w:val="22"/>
                <w:szCs w:val="22"/>
              </w:rPr>
              <w:t>Amount</w:t>
            </w:r>
            <w:r w:rsidR="00C42AF6">
              <w:rPr>
                <w:rFonts w:ascii="Calibri" w:hAnsi="Calibri"/>
                <w:b/>
                <w:sz w:val="22"/>
                <w:szCs w:val="22"/>
              </w:rPr>
              <w:t xml:space="preserve"> (</w:t>
            </w:r>
            <w:r w:rsidR="00C42AF6" w:rsidRPr="00C42AF6">
              <w:rPr>
                <w:rFonts w:ascii="Calibri" w:hAnsi="Calibri"/>
                <w:i/>
                <w:sz w:val="22"/>
                <w:szCs w:val="22"/>
              </w:rPr>
              <w:t>US Dollars</w:t>
            </w:r>
            <w:r w:rsidR="00C42AF6">
              <w:rPr>
                <w:rFonts w:ascii="Calibri" w:hAnsi="Calibri"/>
                <w:i/>
                <w:sz w:val="22"/>
                <w:szCs w:val="22"/>
              </w:rPr>
              <w:t>)</w:t>
            </w:r>
          </w:p>
        </w:tc>
      </w:tr>
      <w:tr w:rsidR="003824E1" w:rsidRPr="00C42AF6" w:rsidTr="0005375A">
        <w:tc>
          <w:tcPr>
            <w:tcW w:w="5670" w:type="dxa"/>
          </w:tcPr>
          <w:p w:rsidR="003824E1" w:rsidRPr="00C42AF6" w:rsidRDefault="0051688C" w:rsidP="0087616E">
            <w:pPr>
              <w:tabs>
                <w:tab w:val="left" w:pos="2060"/>
              </w:tabs>
              <w:rPr>
                <w:rFonts w:ascii="Calibri" w:hAnsi="Calibri"/>
                <w:sz w:val="22"/>
                <w:szCs w:val="22"/>
              </w:rPr>
            </w:pPr>
            <w:r>
              <w:rPr>
                <w:rFonts w:ascii="Calibri" w:hAnsi="Calibri"/>
                <w:sz w:val="22"/>
                <w:szCs w:val="22"/>
              </w:rPr>
              <w:t xml:space="preserve">UEMOA </w:t>
            </w:r>
            <w:r w:rsidR="0087616E">
              <w:rPr>
                <w:rFonts w:ascii="Calibri" w:hAnsi="Calibri"/>
                <w:sz w:val="22"/>
                <w:szCs w:val="22"/>
              </w:rPr>
              <w:t xml:space="preserve">budget </w:t>
            </w:r>
            <w:r>
              <w:rPr>
                <w:rFonts w:ascii="Calibri" w:hAnsi="Calibri"/>
                <w:sz w:val="22"/>
                <w:szCs w:val="22"/>
              </w:rPr>
              <w:t xml:space="preserve">for </w:t>
            </w:r>
            <w:r w:rsidR="0087616E">
              <w:rPr>
                <w:rFonts w:ascii="Calibri" w:hAnsi="Calibri"/>
                <w:sz w:val="22"/>
                <w:szCs w:val="22"/>
              </w:rPr>
              <w:t>Component 3</w:t>
            </w:r>
          </w:p>
        </w:tc>
        <w:tc>
          <w:tcPr>
            <w:tcW w:w="4140" w:type="dxa"/>
          </w:tcPr>
          <w:p w:rsidR="003824E1" w:rsidRPr="00C42AF6" w:rsidRDefault="0087616E" w:rsidP="00C12789">
            <w:pPr>
              <w:tabs>
                <w:tab w:val="left" w:pos="2060"/>
              </w:tabs>
              <w:rPr>
                <w:rFonts w:ascii="Calibri" w:hAnsi="Calibri"/>
                <w:sz w:val="22"/>
                <w:szCs w:val="22"/>
              </w:rPr>
            </w:pPr>
            <w:r>
              <w:rPr>
                <w:rFonts w:ascii="Calibri" w:hAnsi="Calibri"/>
                <w:sz w:val="22"/>
                <w:szCs w:val="22"/>
              </w:rPr>
              <w:t>$43,000</w:t>
            </w:r>
          </w:p>
        </w:tc>
      </w:tr>
      <w:tr w:rsidR="004453D2" w:rsidRPr="00C42AF6" w:rsidTr="0005375A">
        <w:trPr>
          <w:trHeight w:val="785"/>
        </w:trPr>
        <w:tc>
          <w:tcPr>
            <w:tcW w:w="5670" w:type="dxa"/>
          </w:tcPr>
          <w:p w:rsidR="004453D2" w:rsidRPr="00C42AF6" w:rsidRDefault="0087616E" w:rsidP="00C12789">
            <w:pPr>
              <w:tabs>
                <w:tab w:val="left" w:pos="2060"/>
              </w:tabs>
              <w:rPr>
                <w:rFonts w:ascii="Calibri" w:hAnsi="Calibri"/>
                <w:sz w:val="22"/>
                <w:szCs w:val="22"/>
                <w:lang w:val="fr-FR"/>
              </w:rPr>
            </w:pPr>
            <w:r>
              <w:rPr>
                <w:rFonts w:ascii="Calibri" w:hAnsi="Calibri"/>
                <w:sz w:val="22"/>
                <w:szCs w:val="22"/>
                <w:lang w:val="fr-FR"/>
              </w:rPr>
              <w:t xml:space="preserve">French </w:t>
            </w:r>
            <w:proofErr w:type="spellStart"/>
            <w:r>
              <w:rPr>
                <w:rFonts w:ascii="Calibri" w:hAnsi="Calibri"/>
                <w:sz w:val="22"/>
                <w:szCs w:val="22"/>
                <w:lang w:val="fr-FR"/>
              </w:rPr>
              <w:t>cooperation</w:t>
            </w:r>
            <w:proofErr w:type="spellEnd"/>
            <w:r>
              <w:rPr>
                <w:rFonts w:ascii="Calibri" w:hAnsi="Calibri"/>
                <w:sz w:val="22"/>
                <w:szCs w:val="22"/>
                <w:lang w:val="fr-FR"/>
              </w:rPr>
              <w:t>, for Component 3</w:t>
            </w:r>
          </w:p>
        </w:tc>
        <w:tc>
          <w:tcPr>
            <w:tcW w:w="4140" w:type="dxa"/>
          </w:tcPr>
          <w:p w:rsidR="004453D2" w:rsidRPr="00C42AF6" w:rsidRDefault="0087616E" w:rsidP="00C12789">
            <w:pPr>
              <w:tabs>
                <w:tab w:val="left" w:pos="2060"/>
              </w:tabs>
              <w:rPr>
                <w:rFonts w:ascii="Calibri" w:hAnsi="Calibri"/>
                <w:sz w:val="22"/>
                <w:szCs w:val="22"/>
              </w:rPr>
            </w:pPr>
            <w:r>
              <w:rPr>
                <w:rFonts w:ascii="Calibri" w:hAnsi="Calibri"/>
                <w:sz w:val="22"/>
                <w:szCs w:val="22"/>
              </w:rPr>
              <w:t>$13,000</w:t>
            </w:r>
          </w:p>
        </w:tc>
      </w:tr>
      <w:tr w:rsidR="00083FA9" w:rsidRPr="00C42AF6" w:rsidTr="0005375A">
        <w:tc>
          <w:tcPr>
            <w:tcW w:w="5670" w:type="dxa"/>
          </w:tcPr>
          <w:p w:rsidR="00083FA9" w:rsidRPr="00C42AF6" w:rsidRDefault="004453D2" w:rsidP="00C12789">
            <w:pPr>
              <w:tabs>
                <w:tab w:val="left" w:pos="2060"/>
              </w:tabs>
              <w:rPr>
                <w:rFonts w:ascii="Calibri" w:hAnsi="Calibri"/>
                <w:b/>
                <w:sz w:val="22"/>
                <w:szCs w:val="22"/>
              </w:rPr>
            </w:pPr>
            <w:r w:rsidRPr="00C42AF6">
              <w:rPr>
                <w:rFonts w:ascii="Calibri" w:hAnsi="Calibri"/>
                <w:b/>
                <w:sz w:val="22"/>
                <w:szCs w:val="22"/>
              </w:rPr>
              <w:t xml:space="preserve">TOTAL </w:t>
            </w:r>
          </w:p>
        </w:tc>
        <w:tc>
          <w:tcPr>
            <w:tcW w:w="4140" w:type="dxa"/>
            <w:shd w:val="clear" w:color="auto" w:fill="auto"/>
          </w:tcPr>
          <w:p w:rsidR="00083FA9" w:rsidRPr="00C42AF6" w:rsidRDefault="0087616E" w:rsidP="00C12789">
            <w:pPr>
              <w:tabs>
                <w:tab w:val="left" w:pos="2060"/>
              </w:tabs>
              <w:rPr>
                <w:rFonts w:ascii="Calibri" w:hAnsi="Calibri"/>
                <w:b/>
                <w:sz w:val="22"/>
                <w:szCs w:val="22"/>
              </w:rPr>
            </w:pPr>
            <w:r>
              <w:rPr>
                <w:rFonts w:ascii="Calibri" w:hAnsi="Calibri"/>
                <w:b/>
                <w:sz w:val="22"/>
                <w:szCs w:val="22"/>
              </w:rPr>
              <w:t>$56,000</w:t>
            </w:r>
          </w:p>
        </w:tc>
      </w:tr>
    </w:tbl>
    <w:p w:rsidR="003824E1" w:rsidRPr="00C42AF6" w:rsidRDefault="003824E1" w:rsidP="003824E1">
      <w:pPr>
        <w:rPr>
          <w:rFonts w:ascii="Calibri" w:hAnsi="Calibri"/>
          <w:sz w:val="22"/>
          <w:szCs w:val="22"/>
        </w:rPr>
      </w:pPr>
    </w:p>
    <w:p w:rsidR="003824E1" w:rsidRPr="00C42AF6" w:rsidRDefault="00D51933" w:rsidP="003824E1">
      <w:pPr>
        <w:jc w:val="both"/>
        <w:rPr>
          <w:rFonts w:ascii="Calibri" w:hAnsi="Calibri"/>
          <w:b/>
          <w:sz w:val="22"/>
          <w:szCs w:val="22"/>
          <w:u w:val="single"/>
        </w:rPr>
      </w:pPr>
      <w:r>
        <w:rPr>
          <w:rFonts w:ascii="Calibri" w:hAnsi="Calibri"/>
          <w:b/>
          <w:sz w:val="22"/>
          <w:szCs w:val="22"/>
          <w:u w:val="single"/>
        </w:rPr>
        <w:t>1</w:t>
      </w:r>
      <w:r w:rsidR="00CA7074">
        <w:rPr>
          <w:rFonts w:ascii="Calibri" w:hAnsi="Calibri"/>
          <w:b/>
          <w:sz w:val="22"/>
          <w:szCs w:val="22"/>
          <w:u w:val="single"/>
        </w:rPr>
        <w:t>6</w:t>
      </w:r>
      <w:r w:rsidR="00C12789" w:rsidRPr="00C42AF6">
        <w:rPr>
          <w:rFonts w:ascii="Calibri" w:hAnsi="Calibri"/>
          <w:b/>
          <w:sz w:val="22"/>
          <w:szCs w:val="22"/>
          <w:u w:val="single"/>
        </w:rPr>
        <w:t xml:space="preserve">.) </w:t>
      </w:r>
      <w:r w:rsidR="001E6690" w:rsidRPr="00C42AF6">
        <w:rPr>
          <w:rFonts w:ascii="Calibri" w:hAnsi="Calibri"/>
          <w:b/>
          <w:sz w:val="22"/>
          <w:szCs w:val="22"/>
          <w:u w:val="single"/>
        </w:rPr>
        <w:t xml:space="preserve">Costing assumption: </w:t>
      </w:r>
    </w:p>
    <w:p w:rsidR="004918AC" w:rsidRPr="00C42AF6" w:rsidRDefault="004918AC" w:rsidP="003B08C9">
      <w:pPr>
        <w:jc w:val="both"/>
        <w:rPr>
          <w:rFonts w:ascii="Calibri" w:hAnsi="Calibri"/>
          <w:sz w:val="22"/>
          <w:szCs w:val="22"/>
        </w:rPr>
      </w:pPr>
      <w:r w:rsidRPr="00C42AF6">
        <w:rPr>
          <w:rFonts w:ascii="Calibri" w:hAnsi="Calibri"/>
          <w:sz w:val="22"/>
          <w:szCs w:val="22"/>
        </w:rPr>
        <w:t>(For Consultancy budget, specify the number of consultants, fee rate and number of days, and</w:t>
      </w:r>
      <w:r w:rsidR="006E4669" w:rsidRPr="00C42AF6">
        <w:rPr>
          <w:rFonts w:ascii="Calibri" w:hAnsi="Calibri"/>
          <w:sz w:val="22"/>
          <w:szCs w:val="22"/>
        </w:rPr>
        <w:t xml:space="preserve"> travel and subsistence costs. </w:t>
      </w:r>
      <w:proofErr w:type="gramStart"/>
      <w:r w:rsidRPr="00C42AF6">
        <w:rPr>
          <w:rFonts w:ascii="Calibri" w:hAnsi="Calibri"/>
          <w:sz w:val="22"/>
          <w:szCs w:val="22"/>
        </w:rPr>
        <w:t>For training/workshop, the number of events.</w:t>
      </w:r>
      <w:proofErr w:type="gramEnd"/>
      <w:r w:rsidRPr="00C42AF6">
        <w:rPr>
          <w:rFonts w:ascii="Calibri" w:hAnsi="Calibri"/>
          <w:sz w:val="22"/>
          <w:szCs w:val="22"/>
        </w:rPr>
        <w:t xml:space="preserve">  For Dissemination and other costs, detail the proposed costs)</w:t>
      </w:r>
      <w:r w:rsidR="0005375A">
        <w:rPr>
          <w:rFonts w:ascii="Calibri" w:hAnsi="Calibri"/>
          <w:sz w:val="22"/>
          <w:szCs w:val="22"/>
        </w:rPr>
        <w:t>.</w:t>
      </w:r>
    </w:p>
    <w:p w:rsidR="001E6690" w:rsidRDefault="001E6690" w:rsidP="003B08C9">
      <w:pPr>
        <w:jc w:val="both"/>
        <w:rPr>
          <w:rFonts w:ascii="Calibri" w:hAnsi="Calibri"/>
          <w:sz w:val="22"/>
          <w:szCs w:val="22"/>
        </w:rPr>
      </w:pPr>
    </w:p>
    <w:p w:rsidR="00280C3B" w:rsidRPr="00280C3B" w:rsidRDefault="00280C3B" w:rsidP="003B08C9">
      <w:pPr>
        <w:jc w:val="both"/>
        <w:rPr>
          <w:rFonts w:ascii="Calibri" w:hAnsi="Calibri"/>
          <w:b/>
          <w:sz w:val="22"/>
          <w:szCs w:val="22"/>
          <w:u w:val="single"/>
        </w:rPr>
      </w:pPr>
      <w:r w:rsidRPr="00280C3B">
        <w:rPr>
          <w:rFonts w:ascii="Calibri" w:hAnsi="Calibri"/>
          <w:b/>
          <w:sz w:val="22"/>
          <w:szCs w:val="22"/>
          <w:u w:val="single"/>
        </w:rPr>
        <w:t>Component 1 – CEE Ratings</w:t>
      </w:r>
    </w:p>
    <w:p w:rsidR="00280C3B" w:rsidRDefault="00280C3B" w:rsidP="003B08C9">
      <w:pPr>
        <w:jc w:val="both"/>
        <w:rPr>
          <w:rFonts w:ascii="Calibri" w:hAnsi="Calibri"/>
          <w:b/>
          <w:sz w:val="22"/>
          <w:szCs w:val="22"/>
        </w:rPr>
      </w:pPr>
    </w:p>
    <w:p w:rsidR="006E2BD5" w:rsidRPr="006E2BD5" w:rsidRDefault="006E2BD5" w:rsidP="003B08C9">
      <w:pPr>
        <w:jc w:val="both"/>
        <w:rPr>
          <w:rFonts w:ascii="Calibri" w:hAnsi="Calibri"/>
          <w:b/>
          <w:sz w:val="22"/>
          <w:szCs w:val="22"/>
        </w:rPr>
      </w:pPr>
      <w:r w:rsidRPr="006E2BD5">
        <w:rPr>
          <w:rFonts w:ascii="Calibri" w:hAnsi="Calibri"/>
          <w:b/>
          <w:sz w:val="22"/>
          <w:szCs w:val="22"/>
        </w:rPr>
        <w:t>Decentralization Specialist</w:t>
      </w:r>
      <w:r w:rsidR="00280C3B">
        <w:rPr>
          <w:rFonts w:ascii="Calibri" w:hAnsi="Calibri"/>
          <w:b/>
          <w:sz w:val="22"/>
          <w:szCs w:val="22"/>
        </w:rPr>
        <w:t xml:space="preserve"> – </w:t>
      </w:r>
      <w:r w:rsidR="00280C3B" w:rsidRPr="00280C3B">
        <w:rPr>
          <w:rFonts w:ascii="Calibri" w:hAnsi="Calibri"/>
          <w:sz w:val="22"/>
          <w:szCs w:val="22"/>
        </w:rPr>
        <w:t>to produce initial CEE ratings and validate with UCLGA membership</w:t>
      </w:r>
    </w:p>
    <w:p w:rsidR="006E2BD5" w:rsidRDefault="00280C3B" w:rsidP="00280C3B">
      <w:pPr>
        <w:ind w:firstLine="720"/>
        <w:jc w:val="both"/>
        <w:rPr>
          <w:rFonts w:ascii="Calibri" w:hAnsi="Calibri"/>
          <w:sz w:val="22"/>
          <w:szCs w:val="22"/>
        </w:rPr>
      </w:pPr>
      <w:r>
        <w:rPr>
          <w:rFonts w:ascii="Calibri" w:hAnsi="Calibri"/>
          <w:sz w:val="22"/>
          <w:szCs w:val="22"/>
        </w:rPr>
        <w:t xml:space="preserve">50 </w:t>
      </w:r>
      <w:r w:rsidR="006E2BD5">
        <w:rPr>
          <w:rFonts w:ascii="Calibri" w:hAnsi="Calibri"/>
          <w:sz w:val="22"/>
          <w:szCs w:val="22"/>
        </w:rPr>
        <w:t>days x $</w:t>
      </w:r>
      <w:r>
        <w:rPr>
          <w:rFonts w:ascii="Calibri" w:hAnsi="Calibri"/>
          <w:sz w:val="22"/>
          <w:szCs w:val="22"/>
        </w:rPr>
        <w:t>500</w:t>
      </w:r>
      <w:r w:rsidR="006E2BD5">
        <w:rPr>
          <w:rFonts w:ascii="Calibri" w:hAnsi="Calibri"/>
          <w:sz w:val="22"/>
          <w:szCs w:val="22"/>
        </w:rPr>
        <w:t xml:space="preserve"> per day = $25,000</w:t>
      </w:r>
    </w:p>
    <w:p w:rsidR="006E2BD5" w:rsidRDefault="006E2BD5" w:rsidP="00280C3B">
      <w:pPr>
        <w:ind w:firstLine="720"/>
        <w:jc w:val="both"/>
        <w:rPr>
          <w:rFonts w:ascii="Calibri" w:hAnsi="Calibri"/>
          <w:sz w:val="22"/>
          <w:szCs w:val="22"/>
        </w:rPr>
      </w:pPr>
      <w:r>
        <w:rPr>
          <w:rFonts w:ascii="Calibri" w:hAnsi="Calibri"/>
          <w:sz w:val="22"/>
          <w:szCs w:val="22"/>
        </w:rPr>
        <w:t>Plus travel: $9,</w:t>
      </w:r>
      <w:r w:rsidR="00FF2AFE">
        <w:rPr>
          <w:rFonts w:ascii="Calibri" w:hAnsi="Calibri"/>
          <w:sz w:val="22"/>
          <w:szCs w:val="22"/>
        </w:rPr>
        <w:t>000</w:t>
      </w:r>
    </w:p>
    <w:p w:rsidR="006E2BD5" w:rsidRDefault="006E2BD5" w:rsidP="00280C3B">
      <w:pPr>
        <w:ind w:firstLine="720"/>
        <w:jc w:val="both"/>
        <w:rPr>
          <w:rFonts w:ascii="Calibri" w:hAnsi="Calibri"/>
          <w:sz w:val="22"/>
          <w:szCs w:val="22"/>
        </w:rPr>
      </w:pPr>
      <w:r>
        <w:rPr>
          <w:rFonts w:ascii="Calibri" w:hAnsi="Calibri"/>
          <w:sz w:val="22"/>
          <w:szCs w:val="22"/>
        </w:rPr>
        <w:t>Air fare of $ per trip x 2 trips = $3,200</w:t>
      </w:r>
    </w:p>
    <w:p w:rsidR="006E2BD5" w:rsidRDefault="006E2BD5" w:rsidP="00280C3B">
      <w:pPr>
        <w:ind w:firstLine="720"/>
        <w:jc w:val="both"/>
        <w:rPr>
          <w:rFonts w:ascii="Calibri" w:hAnsi="Calibri"/>
          <w:sz w:val="22"/>
          <w:szCs w:val="22"/>
        </w:rPr>
      </w:pPr>
      <w:r>
        <w:rPr>
          <w:rFonts w:ascii="Calibri" w:hAnsi="Calibri"/>
          <w:sz w:val="22"/>
          <w:szCs w:val="22"/>
        </w:rPr>
        <w:t>Accommodation at 10 days per trip – 9 nights @$200 = $3,600</w:t>
      </w:r>
    </w:p>
    <w:p w:rsidR="006E2BD5" w:rsidRDefault="006E2BD5" w:rsidP="00280C3B">
      <w:pPr>
        <w:ind w:firstLine="720"/>
        <w:jc w:val="both"/>
        <w:rPr>
          <w:rFonts w:ascii="Calibri" w:hAnsi="Calibri"/>
          <w:sz w:val="22"/>
          <w:szCs w:val="22"/>
        </w:rPr>
      </w:pPr>
      <w:r>
        <w:rPr>
          <w:rFonts w:ascii="Calibri" w:hAnsi="Calibri"/>
          <w:sz w:val="22"/>
          <w:szCs w:val="22"/>
        </w:rPr>
        <w:t xml:space="preserve">Per </w:t>
      </w:r>
      <w:proofErr w:type="gramStart"/>
      <w:r>
        <w:rPr>
          <w:rFonts w:ascii="Calibri" w:hAnsi="Calibri"/>
          <w:sz w:val="22"/>
          <w:szCs w:val="22"/>
        </w:rPr>
        <w:t>diem</w:t>
      </w:r>
      <w:proofErr w:type="gramEnd"/>
      <w:r>
        <w:rPr>
          <w:rFonts w:ascii="Calibri" w:hAnsi="Calibri"/>
          <w:sz w:val="22"/>
          <w:szCs w:val="22"/>
        </w:rPr>
        <w:t xml:space="preserve"> at 10 days per trip @$</w:t>
      </w:r>
      <w:r w:rsidR="00FF2AFE">
        <w:rPr>
          <w:rFonts w:ascii="Calibri" w:hAnsi="Calibri"/>
          <w:sz w:val="22"/>
          <w:szCs w:val="22"/>
        </w:rPr>
        <w:t xml:space="preserve">110 </w:t>
      </w:r>
      <w:r>
        <w:rPr>
          <w:rFonts w:ascii="Calibri" w:hAnsi="Calibri"/>
          <w:sz w:val="22"/>
          <w:szCs w:val="22"/>
        </w:rPr>
        <w:t>per day = $2,</w:t>
      </w:r>
      <w:r w:rsidR="00FF2AFE">
        <w:rPr>
          <w:rFonts w:ascii="Calibri" w:hAnsi="Calibri"/>
          <w:sz w:val="22"/>
          <w:szCs w:val="22"/>
        </w:rPr>
        <w:t>200</w:t>
      </w:r>
    </w:p>
    <w:p w:rsidR="00C31A97" w:rsidRDefault="00C31A97" w:rsidP="00280C3B">
      <w:pPr>
        <w:ind w:firstLine="720"/>
        <w:jc w:val="both"/>
        <w:rPr>
          <w:rFonts w:ascii="Calibri" w:hAnsi="Calibri"/>
          <w:sz w:val="22"/>
          <w:szCs w:val="22"/>
        </w:rPr>
      </w:pPr>
      <w:proofErr w:type="gramStart"/>
      <w:r>
        <w:rPr>
          <w:rFonts w:ascii="Calibri" w:hAnsi="Calibri"/>
          <w:sz w:val="22"/>
          <w:szCs w:val="22"/>
        </w:rPr>
        <w:t>Funded from previously-approved budget.</w:t>
      </w:r>
      <w:proofErr w:type="gramEnd"/>
    </w:p>
    <w:p w:rsidR="00FB7B43" w:rsidRDefault="00FB7B43" w:rsidP="003B08C9">
      <w:pPr>
        <w:jc w:val="both"/>
        <w:rPr>
          <w:rFonts w:ascii="Calibri" w:hAnsi="Calibri"/>
          <w:sz w:val="22"/>
          <w:szCs w:val="22"/>
        </w:rPr>
      </w:pPr>
    </w:p>
    <w:p w:rsidR="00280C3B" w:rsidRDefault="00280C3B" w:rsidP="003B08C9">
      <w:pPr>
        <w:jc w:val="both"/>
        <w:rPr>
          <w:rFonts w:ascii="Calibri" w:hAnsi="Calibri"/>
          <w:sz w:val="22"/>
          <w:szCs w:val="22"/>
        </w:rPr>
      </w:pPr>
      <w:r>
        <w:rPr>
          <w:rFonts w:ascii="Calibri" w:hAnsi="Calibri"/>
          <w:sz w:val="22"/>
          <w:szCs w:val="22"/>
        </w:rPr>
        <w:t>Advocacy consultant - development of advocacy plans around CEE ratings</w:t>
      </w:r>
    </w:p>
    <w:p w:rsidR="00280C3B" w:rsidRDefault="00280C3B" w:rsidP="00280C3B">
      <w:pPr>
        <w:ind w:firstLine="720"/>
        <w:jc w:val="both"/>
        <w:rPr>
          <w:rFonts w:ascii="Calibri" w:hAnsi="Calibri"/>
          <w:sz w:val="22"/>
          <w:szCs w:val="22"/>
        </w:rPr>
      </w:pPr>
      <w:r>
        <w:rPr>
          <w:rFonts w:ascii="Calibri" w:hAnsi="Calibri"/>
          <w:sz w:val="22"/>
          <w:szCs w:val="22"/>
        </w:rPr>
        <w:t>6 days x $500 per day = $3,000</w:t>
      </w:r>
    </w:p>
    <w:p w:rsidR="00280C3B" w:rsidRDefault="00280C3B" w:rsidP="003B08C9">
      <w:pPr>
        <w:jc w:val="both"/>
        <w:rPr>
          <w:rFonts w:ascii="Calibri" w:hAnsi="Calibri"/>
          <w:sz w:val="22"/>
          <w:szCs w:val="22"/>
        </w:rPr>
      </w:pPr>
      <w:r>
        <w:rPr>
          <w:rFonts w:ascii="Calibri" w:hAnsi="Calibri"/>
          <w:sz w:val="22"/>
          <w:szCs w:val="22"/>
        </w:rPr>
        <w:t>Production and printing of CEE Ratings brochure (English and French) - $2,000</w:t>
      </w:r>
    </w:p>
    <w:p w:rsidR="00280C3B" w:rsidRDefault="00280C3B" w:rsidP="003B08C9">
      <w:pPr>
        <w:jc w:val="both"/>
        <w:rPr>
          <w:rFonts w:ascii="Calibri" w:hAnsi="Calibri"/>
          <w:sz w:val="22"/>
          <w:szCs w:val="22"/>
        </w:rPr>
      </w:pPr>
      <w:r>
        <w:rPr>
          <w:rFonts w:ascii="Calibri" w:hAnsi="Calibri"/>
          <w:sz w:val="22"/>
          <w:szCs w:val="22"/>
        </w:rPr>
        <w:t>Production and printing of Africa CEE Ratings map - $1,000</w:t>
      </w:r>
    </w:p>
    <w:p w:rsidR="00280C3B" w:rsidRDefault="00280C3B" w:rsidP="003B08C9">
      <w:pPr>
        <w:jc w:val="both"/>
        <w:rPr>
          <w:rFonts w:ascii="Calibri" w:hAnsi="Calibri"/>
          <w:sz w:val="22"/>
          <w:szCs w:val="22"/>
        </w:rPr>
      </w:pPr>
      <w:r>
        <w:rPr>
          <w:rFonts w:ascii="Calibri" w:hAnsi="Calibri"/>
          <w:sz w:val="22"/>
          <w:szCs w:val="22"/>
        </w:rPr>
        <w:t>Production of CEE Ratings advocacy video - $5,000</w:t>
      </w:r>
    </w:p>
    <w:p w:rsidR="00280C3B" w:rsidRPr="00C42AF6" w:rsidRDefault="00280C3B" w:rsidP="003B08C9">
      <w:pPr>
        <w:jc w:val="both"/>
        <w:rPr>
          <w:rFonts w:ascii="Calibri" w:hAnsi="Calibri"/>
          <w:sz w:val="22"/>
          <w:szCs w:val="22"/>
        </w:rPr>
      </w:pPr>
    </w:p>
    <w:p w:rsidR="00F43C9F" w:rsidRDefault="004603A5" w:rsidP="003B08C9">
      <w:pPr>
        <w:jc w:val="both"/>
        <w:rPr>
          <w:rFonts w:ascii="Calibri" w:hAnsi="Calibri"/>
          <w:b/>
          <w:sz w:val="22"/>
          <w:szCs w:val="22"/>
        </w:rPr>
      </w:pPr>
      <w:r w:rsidRPr="006E2BD5">
        <w:rPr>
          <w:rFonts w:ascii="Calibri" w:hAnsi="Calibri"/>
          <w:b/>
          <w:sz w:val="22"/>
          <w:szCs w:val="22"/>
        </w:rPr>
        <w:t xml:space="preserve">Knowledge Management </w:t>
      </w:r>
      <w:r w:rsidR="00FF2AFE">
        <w:rPr>
          <w:rFonts w:ascii="Calibri" w:hAnsi="Calibri"/>
          <w:b/>
          <w:sz w:val="22"/>
          <w:szCs w:val="22"/>
        </w:rPr>
        <w:t xml:space="preserve">Capacity – </w:t>
      </w:r>
    </w:p>
    <w:p w:rsidR="004453D2" w:rsidRPr="00F43C9F" w:rsidRDefault="00FF2AFE" w:rsidP="003B08C9">
      <w:pPr>
        <w:jc w:val="both"/>
        <w:rPr>
          <w:rFonts w:ascii="Calibri" w:hAnsi="Calibri"/>
          <w:sz w:val="22"/>
          <w:szCs w:val="22"/>
        </w:rPr>
      </w:pPr>
      <w:r w:rsidRPr="00F43C9F">
        <w:rPr>
          <w:rFonts w:ascii="Calibri" w:hAnsi="Calibri"/>
          <w:sz w:val="22"/>
          <w:szCs w:val="22"/>
        </w:rPr>
        <w:t>ETC consultant based in Rabat</w:t>
      </w:r>
      <w:r w:rsidR="00F43C9F" w:rsidRPr="00F43C9F">
        <w:rPr>
          <w:rFonts w:ascii="Calibri" w:hAnsi="Calibri"/>
          <w:sz w:val="22"/>
          <w:szCs w:val="22"/>
        </w:rPr>
        <w:t>:</w:t>
      </w:r>
    </w:p>
    <w:p w:rsidR="004453D2" w:rsidRDefault="00F43C9F" w:rsidP="003B08C9">
      <w:pPr>
        <w:jc w:val="both"/>
        <w:rPr>
          <w:rFonts w:ascii="Calibri" w:hAnsi="Calibri"/>
          <w:sz w:val="22"/>
          <w:szCs w:val="22"/>
        </w:rPr>
      </w:pPr>
      <w:r>
        <w:rPr>
          <w:rFonts w:ascii="Calibri" w:hAnsi="Calibri"/>
          <w:sz w:val="22"/>
          <w:szCs w:val="22"/>
        </w:rPr>
        <w:t xml:space="preserve">         </w:t>
      </w:r>
      <w:r w:rsidR="00FF2AFE">
        <w:rPr>
          <w:rFonts w:ascii="Calibri" w:hAnsi="Calibri"/>
          <w:sz w:val="22"/>
          <w:szCs w:val="22"/>
        </w:rPr>
        <w:t>One-year consulting fees (estimated) - $100,000</w:t>
      </w:r>
    </w:p>
    <w:p w:rsidR="00FF2AFE" w:rsidRDefault="00FF2AFE" w:rsidP="003B08C9">
      <w:pPr>
        <w:jc w:val="both"/>
        <w:rPr>
          <w:rFonts w:ascii="Calibri" w:hAnsi="Calibri"/>
          <w:sz w:val="22"/>
          <w:szCs w:val="22"/>
        </w:rPr>
      </w:pPr>
      <w:r>
        <w:rPr>
          <w:rFonts w:ascii="Calibri" w:hAnsi="Calibri"/>
          <w:sz w:val="22"/>
          <w:szCs w:val="22"/>
        </w:rPr>
        <w:t>Direct support costs (resource materials; printing; travel) - $20,000</w:t>
      </w:r>
    </w:p>
    <w:p w:rsidR="00FF2AFE" w:rsidRDefault="00FF2AFE" w:rsidP="003B08C9">
      <w:pPr>
        <w:jc w:val="both"/>
        <w:rPr>
          <w:rFonts w:ascii="Calibri" w:hAnsi="Calibri"/>
          <w:sz w:val="22"/>
          <w:szCs w:val="22"/>
        </w:rPr>
      </w:pPr>
    </w:p>
    <w:p w:rsidR="00F43C9F" w:rsidRDefault="00F43C9F" w:rsidP="003B08C9">
      <w:pPr>
        <w:jc w:val="both"/>
        <w:rPr>
          <w:rFonts w:ascii="Calibri" w:hAnsi="Calibri"/>
          <w:sz w:val="22"/>
          <w:szCs w:val="22"/>
        </w:rPr>
      </w:pPr>
      <w:r>
        <w:rPr>
          <w:rFonts w:ascii="Calibri" w:hAnsi="Calibri"/>
          <w:sz w:val="22"/>
          <w:szCs w:val="22"/>
        </w:rPr>
        <w:t>Knowledge production costs</w:t>
      </w:r>
    </w:p>
    <w:p w:rsidR="00F43C9F" w:rsidRDefault="00F43C9F" w:rsidP="003B08C9">
      <w:pPr>
        <w:jc w:val="both"/>
        <w:rPr>
          <w:rFonts w:ascii="Calibri" w:hAnsi="Calibri"/>
          <w:sz w:val="22"/>
          <w:szCs w:val="22"/>
        </w:rPr>
      </w:pPr>
      <w:r>
        <w:rPr>
          <w:rFonts w:ascii="Calibri" w:hAnsi="Calibri"/>
          <w:sz w:val="22"/>
          <w:szCs w:val="22"/>
        </w:rPr>
        <w:t>Knowledge adaptation and packaging costs related to 2012 piloting of knowledge dissemination system, focused around city managers; finance directors; and planning/</w:t>
      </w:r>
      <w:r w:rsidR="00661760">
        <w:rPr>
          <w:rFonts w:ascii="Calibri" w:hAnsi="Calibri"/>
          <w:sz w:val="22"/>
          <w:szCs w:val="22"/>
        </w:rPr>
        <w:t xml:space="preserve">technical </w:t>
      </w:r>
      <w:r>
        <w:rPr>
          <w:rFonts w:ascii="Calibri" w:hAnsi="Calibri"/>
          <w:sz w:val="22"/>
          <w:szCs w:val="22"/>
        </w:rPr>
        <w:t>service</w:t>
      </w:r>
      <w:r w:rsidR="00661760">
        <w:rPr>
          <w:rFonts w:ascii="Calibri" w:hAnsi="Calibri"/>
          <w:sz w:val="22"/>
          <w:szCs w:val="22"/>
        </w:rPr>
        <w:t>s</w:t>
      </w:r>
      <w:r>
        <w:rPr>
          <w:rFonts w:ascii="Calibri" w:hAnsi="Calibri"/>
          <w:sz w:val="22"/>
          <w:szCs w:val="22"/>
        </w:rPr>
        <w:t xml:space="preserve"> directors.</w:t>
      </w:r>
    </w:p>
    <w:p w:rsidR="00F43C9F" w:rsidRDefault="00F43C9F" w:rsidP="003B08C9">
      <w:pPr>
        <w:jc w:val="both"/>
        <w:rPr>
          <w:rFonts w:ascii="Calibri" w:hAnsi="Calibri"/>
          <w:sz w:val="22"/>
          <w:szCs w:val="22"/>
        </w:rPr>
      </w:pPr>
      <w:r>
        <w:rPr>
          <w:rFonts w:ascii="Calibri" w:hAnsi="Calibri"/>
          <w:sz w:val="22"/>
          <w:szCs w:val="22"/>
        </w:rPr>
        <w:t xml:space="preserve">       Translations of existing products   </w:t>
      </w:r>
      <w:proofErr w:type="gramStart"/>
      <w:r>
        <w:rPr>
          <w:rFonts w:ascii="Calibri" w:hAnsi="Calibri"/>
          <w:sz w:val="22"/>
          <w:szCs w:val="22"/>
        </w:rPr>
        <w:t>-  $</w:t>
      </w:r>
      <w:proofErr w:type="gramEnd"/>
      <w:r>
        <w:rPr>
          <w:rFonts w:ascii="Calibri" w:hAnsi="Calibri"/>
          <w:sz w:val="22"/>
          <w:szCs w:val="22"/>
        </w:rPr>
        <w:t>10,000</w:t>
      </w:r>
    </w:p>
    <w:p w:rsidR="00F43C9F" w:rsidRDefault="00F43C9F" w:rsidP="003B08C9">
      <w:pPr>
        <w:jc w:val="both"/>
        <w:rPr>
          <w:rFonts w:ascii="Calibri" w:hAnsi="Calibri"/>
          <w:sz w:val="22"/>
          <w:szCs w:val="22"/>
        </w:rPr>
      </w:pPr>
      <w:r>
        <w:rPr>
          <w:rFonts w:ascii="Calibri" w:hAnsi="Calibri"/>
          <w:sz w:val="22"/>
          <w:szCs w:val="22"/>
        </w:rPr>
        <w:t xml:space="preserve">       Production of e-products - $10,000</w:t>
      </w:r>
    </w:p>
    <w:p w:rsidR="00F43C9F" w:rsidRDefault="00F43C9F" w:rsidP="003B08C9">
      <w:pPr>
        <w:jc w:val="both"/>
        <w:rPr>
          <w:rFonts w:ascii="Calibri" w:hAnsi="Calibri"/>
          <w:sz w:val="22"/>
          <w:szCs w:val="22"/>
        </w:rPr>
      </w:pPr>
      <w:r>
        <w:rPr>
          <w:rFonts w:ascii="Calibri" w:hAnsi="Calibri"/>
          <w:sz w:val="22"/>
          <w:szCs w:val="22"/>
        </w:rPr>
        <w:lastRenderedPageBreak/>
        <w:t xml:space="preserve">       Production of branding/ packaging materials - $10,000</w:t>
      </w:r>
    </w:p>
    <w:p w:rsidR="00F43C9F" w:rsidRDefault="00F43C9F" w:rsidP="003B08C9">
      <w:pPr>
        <w:jc w:val="both"/>
        <w:rPr>
          <w:rFonts w:ascii="Calibri" w:hAnsi="Calibri"/>
          <w:sz w:val="22"/>
          <w:szCs w:val="22"/>
        </w:rPr>
      </w:pPr>
    </w:p>
    <w:p w:rsidR="00F43C9F" w:rsidRDefault="00F43C9F" w:rsidP="003B08C9">
      <w:pPr>
        <w:jc w:val="both"/>
        <w:rPr>
          <w:rFonts w:ascii="Calibri" w:hAnsi="Calibri"/>
          <w:sz w:val="22"/>
          <w:szCs w:val="22"/>
        </w:rPr>
      </w:pPr>
    </w:p>
    <w:p w:rsidR="006E2BD5" w:rsidRPr="006E2BD5" w:rsidRDefault="006E2BD5" w:rsidP="006E2BD5">
      <w:pPr>
        <w:jc w:val="both"/>
        <w:rPr>
          <w:rFonts w:ascii="Calibri" w:hAnsi="Calibri"/>
          <w:b/>
          <w:sz w:val="22"/>
          <w:szCs w:val="22"/>
        </w:rPr>
      </w:pPr>
      <w:r w:rsidRPr="006E2BD5">
        <w:rPr>
          <w:rFonts w:ascii="Calibri" w:hAnsi="Calibri"/>
          <w:b/>
          <w:sz w:val="22"/>
          <w:szCs w:val="22"/>
        </w:rPr>
        <w:t xml:space="preserve">Knowledge Management </w:t>
      </w:r>
      <w:r w:rsidR="00C31A97">
        <w:rPr>
          <w:rFonts w:ascii="Calibri" w:hAnsi="Calibri"/>
          <w:b/>
          <w:sz w:val="22"/>
          <w:szCs w:val="22"/>
        </w:rPr>
        <w:t>Advisor</w:t>
      </w:r>
      <w:r>
        <w:rPr>
          <w:rFonts w:ascii="Calibri" w:hAnsi="Calibri"/>
          <w:b/>
          <w:sz w:val="22"/>
          <w:szCs w:val="22"/>
        </w:rPr>
        <w:t xml:space="preserve"> </w:t>
      </w:r>
    </w:p>
    <w:p w:rsidR="006E2BD5" w:rsidRDefault="006E2BD5" w:rsidP="006E2BD5">
      <w:pPr>
        <w:jc w:val="both"/>
        <w:rPr>
          <w:rFonts w:ascii="Calibri" w:hAnsi="Calibri"/>
          <w:sz w:val="22"/>
          <w:szCs w:val="22"/>
        </w:rPr>
      </w:pPr>
      <w:r>
        <w:rPr>
          <w:rFonts w:ascii="Calibri" w:hAnsi="Calibri"/>
          <w:sz w:val="22"/>
          <w:szCs w:val="22"/>
        </w:rPr>
        <w:t>8</w:t>
      </w:r>
      <w:r w:rsidRPr="006E2BD5">
        <w:rPr>
          <w:rFonts w:ascii="Calibri" w:hAnsi="Calibri"/>
          <w:sz w:val="22"/>
          <w:szCs w:val="22"/>
        </w:rPr>
        <w:t>0 days x $</w:t>
      </w:r>
      <w:r>
        <w:rPr>
          <w:rFonts w:ascii="Calibri" w:hAnsi="Calibri"/>
          <w:sz w:val="22"/>
          <w:szCs w:val="22"/>
        </w:rPr>
        <w:t>533</w:t>
      </w:r>
      <w:r w:rsidRPr="006E2BD5">
        <w:rPr>
          <w:rFonts w:ascii="Calibri" w:hAnsi="Calibri"/>
          <w:sz w:val="22"/>
          <w:szCs w:val="22"/>
        </w:rPr>
        <w:t>/day = $</w:t>
      </w:r>
      <w:r>
        <w:rPr>
          <w:rFonts w:ascii="Calibri" w:hAnsi="Calibri"/>
          <w:sz w:val="22"/>
          <w:szCs w:val="22"/>
        </w:rPr>
        <w:t>42,720</w:t>
      </w:r>
      <w:r w:rsidRPr="006E2BD5">
        <w:rPr>
          <w:rFonts w:ascii="Calibri" w:hAnsi="Calibri"/>
          <w:sz w:val="22"/>
          <w:szCs w:val="22"/>
        </w:rPr>
        <w:t xml:space="preserve"> </w:t>
      </w:r>
    </w:p>
    <w:p w:rsidR="00FB7B43" w:rsidRDefault="006E2BD5" w:rsidP="006E2BD5">
      <w:pPr>
        <w:jc w:val="both"/>
        <w:rPr>
          <w:rFonts w:ascii="Calibri" w:hAnsi="Calibri"/>
          <w:sz w:val="22"/>
          <w:szCs w:val="22"/>
        </w:rPr>
      </w:pPr>
      <w:r>
        <w:rPr>
          <w:rFonts w:ascii="Calibri" w:hAnsi="Calibri"/>
          <w:sz w:val="22"/>
          <w:szCs w:val="22"/>
        </w:rPr>
        <w:t xml:space="preserve">Plus travel </w:t>
      </w:r>
      <w:proofErr w:type="gramStart"/>
      <w:r w:rsidR="00FB7B43">
        <w:rPr>
          <w:rFonts w:ascii="Calibri" w:hAnsi="Calibri"/>
          <w:sz w:val="22"/>
          <w:szCs w:val="22"/>
        </w:rPr>
        <w:t>=  $</w:t>
      </w:r>
      <w:proofErr w:type="gramEnd"/>
      <w:r w:rsidR="00FB7B43">
        <w:rPr>
          <w:rFonts w:ascii="Calibri" w:hAnsi="Calibri"/>
          <w:sz w:val="22"/>
          <w:szCs w:val="22"/>
        </w:rPr>
        <w:t>20,000</w:t>
      </w:r>
    </w:p>
    <w:p w:rsidR="006E2BD5" w:rsidRDefault="00FB7B43" w:rsidP="006E2BD5">
      <w:pPr>
        <w:jc w:val="both"/>
        <w:rPr>
          <w:rFonts w:ascii="Calibri" w:hAnsi="Calibri"/>
          <w:sz w:val="22"/>
          <w:szCs w:val="22"/>
        </w:rPr>
      </w:pPr>
      <w:r>
        <w:rPr>
          <w:rFonts w:ascii="Calibri" w:hAnsi="Calibri"/>
          <w:sz w:val="22"/>
          <w:szCs w:val="22"/>
        </w:rPr>
        <w:t>(One trip to Washington DC, two trips to Rabat, and one additional trip)</w:t>
      </w:r>
    </w:p>
    <w:p w:rsidR="00E5231B" w:rsidRDefault="00E5231B" w:rsidP="006E2BD5">
      <w:pPr>
        <w:jc w:val="both"/>
        <w:rPr>
          <w:rFonts w:ascii="Calibri" w:hAnsi="Calibri"/>
          <w:sz w:val="22"/>
          <w:szCs w:val="22"/>
        </w:rPr>
      </w:pPr>
      <w:proofErr w:type="gramStart"/>
      <w:r>
        <w:rPr>
          <w:rFonts w:ascii="Calibri" w:hAnsi="Calibri"/>
          <w:sz w:val="22"/>
          <w:szCs w:val="22"/>
        </w:rPr>
        <w:t>(Paid from existing funding allocation.)</w:t>
      </w:r>
      <w:proofErr w:type="gramEnd"/>
    </w:p>
    <w:p w:rsidR="00E5231B" w:rsidRDefault="00E5231B" w:rsidP="006E2BD5">
      <w:pPr>
        <w:jc w:val="both"/>
        <w:rPr>
          <w:rFonts w:ascii="Calibri" w:hAnsi="Calibri"/>
          <w:sz w:val="22"/>
          <w:szCs w:val="22"/>
        </w:rPr>
      </w:pPr>
    </w:p>
    <w:p w:rsidR="00E5231B" w:rsidRPr="00E5231B" w:rsidRDefault="00E5231B" w:rsidP="006E2BD5">
      <w:pPr>
        <w:jc w:val="both"/>
        <w:rPr>
          <w:rFonts w:ascii="Calibri" w:hAnsi="Calibri"/>
          <w:b/>
          <w:sz w:val="22"/>
          <w:szCs w:val="22"/>
        </w:rPr>
      </w:pPr>
      <w:r w:rsidRPr="00E5231B">
        <w:rPr>
          <w:rFonts w:ascii="Calibri" w:hAnsi="Calibri"/>
          <w:b/>
          <w:sz w:val="22"/>
          <w:szCs w:val="22"/>
        </w:rPr>
        <w:t>Contact Database development</w:t>
      </w:r>
    </w:p>
    <w:p w:rsidR="00E5231B" w:rsidRDefault="00E5231B" w:rsidP="006E2BD5">
      <w:pPr>
        <w:jc w:val="both"/>
        <w:rPr>
          <w:rFonts w:ascii="Calibri" w:hAnsi="Calibri"/>
          <w:sz w:val="22"/>
          <w:szCs w:val="22"/>
        </w:rPr>
      </w:pPr>
      <w:r>
        <w:rPr>
          <w:rFonts w:ascii="Calibri" w:hAnsi="Calibri"/>
          <w:sz w:val="22"/>
          <w:szCs w:val="22"/>
        </w:rPr>
        <w:t>Consultant support (4 days @$500/day) - $2,000</w:t>
      </w:r>
    </w:p>
    <w:p w:rsidR="00E5231B" w:rsidRDefault="00E5231B" w:rsidP="006E2BD5">
      <w:pPr>
        <w:jc w:val="both"/>
        <w:rPr>
          <w:rFonts w:ascii="Calibri" w:hAnsi="Calibri"/>
          <w:sz w:val="22"/>
          <w:szCs w:val="22"/>
        </w:rPr>
      </w:pPr>
      <w:r>
        <w:rPr>
          <w:rFonts w:ascii="Calibri" w:hAnsi="Calibri"/>
          <w:sz w:val="22"/>
          <w:szCs w:val="22"/>
        </w:rPr>
        <w:t>Interns/ short-term staff to build database -- $5,000</w:t>
      </w:r>
    </w:p>
    <w:p w:rsidR="0074333B" w:rsidRDefault="0074333B" w:rsidP="0074333B">
      <w:pPr>
        <w:jc w:val="both"/>
        <w:rPr>
          <w:rFonts w:ascii="Calibri" w:hAnsi="Calibri"/>
          <w:sz w:val="22"/>
          <w:szCs w:val="22"/>
        </w:rPr>
      </w:pPr>
      <w:r>
        <w:rPr>
          <w:rFonts w:ascii="Calibri" w:hAnsi="Calibri"/>
          <w:sz w:val="22"/>
          <w:szCs w:val="22"/>
        </w:rPr>
        <w:t xml:space="preserve">Hardware/software </w:t>
      </w:r>
      <w:proofErr w:type="gramStart"/>
      <w:r>
        <w:rPr>
          <w:rFonts w:ascii="Calibri" w:hAnsi="Calibri"/>
          <w:sz w:val="22"/>
          <w:szCs w:val="22"/>
        </w:rPr>
        <w:t>investments  -</w:t>
      </w:r>
      <w:proofErr w:type="gramEnd"/>
      <w:r>
        <w:rPr>
          <w:rFonts w:ascii="Calibri" w:hAnsi="Calibri"/>
          <w:sz w:val="22"/>
          <w:szCs w:val="22"/>
        </w:rPr>
        <w:t xml:space="preserve">   $2,000</w:t>
      </w:r>
    </w:p>
    <w:p w:rsidR="00E5231B" w:rsidRDefault="00E5231B" w:rsidP="006E2BD5">
      <w:pPr>
        <w:jc w:val="both"/>
        <w:rPr>
          <w:rFonts w:ascii="Calibri" w:hAnsi="Calibri"/>
          <w:sz w:val="22"/>
          <w:szCs w:val="22"/>
        </w:rPr>
      </w:pPr>
      <w:r>
        <w:rPr>
          <w:rFonts w:ascii="Calibri" w:hAnsi="Calibri"/>
          <w:sz w:val="22"/>
          <w:szCs w:val="22"/>
        </w:rPr>
        <w:t>Cost reimbursements to LGAs for data collection of membership - $15,000</w:t>
      </w:r>
    </w:p>
    <w:p w:rsidR="00E5231B" w:rsidRDefault="00E5231B" w:rsidP="006E2BD5">
      <w:pPr>
        <w:jc w:val="both"/>
        <w:rPr>
          <w:rFonts w:ascii="Calibri" w:hAnsi="Calibri"/>
          <w:sz w:val="22"/>
          <w:szCs w:val="22"/>
        </w:rPr>
      </w:pPr>
      <w:r>
        <w:rPr>
          <w:rFonts w:ascii="Calibri" w:hAnsi="Calibri"/>
          <w:sz w:val="22"/>
          <w:szCs w:val="22"/>
        </w:rPr>
        <w:t xml:space="preserve">      (30 associations at $500 average each)</w:t>
      </w:r>
    </w:p>
    <w:p w:rsidR="00E5231B" w:rsidRDefault="00E5231B" w:rsidP="006E2BD5">
      <w:pPr>
        <w:jc w:val="both"/>
        <w:rPr>
          <w:rFonts w:ascii="Calibri" w:hAnsi="Calibri"/>
          <w:sz w:val="22"/>
          <w:szCs w:val="22"/>
        </w:rPr>
      </w:pPr>
      <w:r>
        <w:rPr>
          <w:rFonts w:ascii="Calibri" w:hAnsi="Calibri"/>
          <w:sz w:val="22"/>
          <w:szCs w:val="22"/>
        </w:rPr>
        <w:t>Promotional material for project - $1,000</w:t>
      </w:r>
    </w:p>
    <w:p w:rsidR="00E5231B" w:rsidRDefault="00E5231B" w:rsidP="006E2BD5">
      <w:pPr>
        <w:jc w:val="both"/>
        <w:rPr>
          <w:rFonts w:ascii="Calibri" w:hAnsi="Calibri"/>
          <w:sz w:val="22"/>
          <w:szCs w:val="22"/>
        </w:rPr>
      </w:pPr>
    </w:p>
    <w:p w:rsidR="00E5231B" w:rsidRPr="00E5231B" w:rsidRDefault="00E5231B" w:rsidP="006E2BD5">
      <w:pPr>
        <w:jc w:val="both"/>
        <w:rPr>
          <w:rFonts w:ascii="Calibri" w:hAnsi="Calibri"/>
          <w:b/>
          <w:sz w:val="22"/>
          <w:szCs w:val="22"/>
        </w:rPr>
      </w:pPr>
      <w:proofErr w:type="spellStart"/>
      <w:r w:rsidRPr="00E5231B">
        <w:rPr>
          <w:rFonts w:ascii="Calibri" w:hAnsi="Calibri"/>
          <w:b/>
          <w:sz w:val="22"/>
          <w:szCs w:val="22"/>
        </w:rPr>
        <w:t>Africities</w:t>
      </w:r>
      <w:proofErr w:type="spellEnd"/>
      <w:r w:rsidRPr="00E5231B">
        <w:rPr>
          <w:rFonts w:ascii="Calibri" w:hAnsi="Calibri"/>
          <w:b/>
          <w:sz w:val="22"/>
          <w:szCs w:val="22"/>
        </w:rPr>
        <w:t xml:space="preserve"> 2012</w:t>
      </w:r>
    </w:p>
    <w:p w:rsidR="00E5231B" w:rsidRDefault="00E5231B" w:rsidP="006E2BD5">
      <w:pPr>
        <w:jc w:val="both"/>
        <w:rPr>
          <w:rFonts w:ascii="Calibri" w:hAnsi="Calibri"/>
          <w:sz w:val="22"/>
          <w:szCs w:val="22"/>
        </w:rPr>
      </w:pPr>
    </w:p>
    <w:p w:rsidR="00F43C9F" w:rsidRDefault="00F43C9F" w:rsidP="006E2BD5">
      <w:pPr>
        <w:jc w:val="both"/>
        <w:rPr>
          <w:rFonts w:ascii="Calibri" w:hAnsi="Calibri"/>
          <w:sz w:val="22"/>
          <w:szCs w:val="22"/>
        </w:rPr>
      </w:pPr>
      <w:r>
        <w:rPr>
          <w:rFonts w:ascii="Calibri" w:hAnsi="Calibri"/>
          <w:sz w:val="22"/>
          <w:szCs w:val="22"/>
        </w:rPr>
        <w:t>Exhibition booth and furnishings -- $20,000</w:t>
      </w:r>
    </w:p>
    <w:p w:rsidR="00F43C9F" w:rsidRDefault="00F43C9F" w:rsidP="006E2BD5">
      <w:pPr>
        <w:jc w:val="both"/>
        <w:rPr>
          <w:rFonts w:ascii="Calibri" w:hAnsi="Calibri"/>
          <w:sz w:val="22"/>
          <w:szCs w:val="22"/>
        </w:rPr>
      </w:pPr>
      <w:r>
        <w:rPr>
          <w:rFonts w:ascii="Calibri" w:hAnsi="Calibri"/>
          <w:sz w:val="22"/>
          <w:szCs w:val="22"/>
        </w:rPr>
        <w:t>Travel costs for speakers, networking and special sessions -- $20,000</w:t>
      </w:r>
    </w:p>
    <w:p w:rsidR="00F43C9F" w:rsidRDefault="00F43C9F" w:rsidP="006E2BD5">
      <w:pPr>
        <w:jc w:val="both"/>
        <w:rPr>
          <w:rFonts w:ascii="Calibri" w:hAnsi="Calibri"/>
          <w:sz w:val="22"/>
          <w:szCs w:val="22"/>
        </w:rPr>
      </w:pPr>
      <w:r>
        <w:rPr>
          <w:rFonts w:ascii="Calibri" w:hAnsi="Calibri"/>
          <w:sz w:val="22"/>
          <w:szCs w:val="22"/>
        </w:rPr>
        <w:t>Shipping costs of printed materials -- $1,000</w:t>
      </w:r>
    </w:p>
    <w:p w:rsidR="00F43C9F" w:rsidRDefault="00F43C9F" w:rsidP="006E2BD5">
      <w:pPr>
        <w:jc w:val="both"/>
        <w:rPr>
          <w:rFonts w:ascii="Calibri" w:hAnsi="Calibri"/>
          <w:sz w:val="22"/>
          <w:szCs w:val="22"/>
        </w:rPr>
      </w:pPr>
      <w:r>
        <w:rPr>
          <w:rFonts w:ascii="Calibri" w:hAnsi="Calibri"/>
          <w:sz w:val="22"/>
          <w:szCs w:val="22"/>
        </w:rPr>
        <w:t>Banners/ posters/ promotional materials -- $7,000</w:t>
      </w:r>
    </w:p>
    <w:p w:rsidR="00F43C9F" w:rsidRDefault="00F43C9F" w:rsidP="006E2BD5">
      <w:pPr>
        <w:jc w:val="both"/>
        <w:rPr>
          <w:rFonts w:ascii="Calibri" w:hAnsi="Calibri"/>
          <w:sz w:val="22"/>
          <w:szCs w:val="22"/>
        </w:rPr>
      </w:pPr>
      <w:r>
        <w:rPr>
          <w:rFonts w:ascii="Calibri" w:hAnsi="Calibri"/>
          <w:sz w:val="22"/>
          <w:szCs w:val="22"/>
        </w:rPr>
        <w:t>Event management support -- $10,000</w:t>
      </w:r>
    </w:p>
    <w:p w:rsidR="00F43C9F" w:rsidRPr="006E2BD5" w:rsidRDefault="00F43C9F" w:rsidP="006E2BD5">
      <w:pPr>
        <w:jc w:val="both"/>
        <w:rPr>
          <w:rFonts w:ascii="Calibri" w:hAnsi="Calibri"/>
          <w:sz w:val="22"/>
          <w:szCs w:val="22"/>
        </w:rPr>
      </w:pPr>
    </w:p>
    <w:p w:rsidR="006E2BD5" w:rsidRDefault="006E2BD5" w:rsidP="003B08C9">
      <w:pPr>
        <w:jc w:val="both"/>
        <w:rPr>
          <w:rFonts w:ascii="Calibri" w:hAnsi="Calibri"/>
          <w:sz w:val="22"/>
          <w:szCs w:val="22"/>
        </w:rPr>
      </w:pPr>
    </w:p>
    <w:p w:rsidR="001624FA" w:rsidRPr="001624FA" w:rsidRDefault="001624FA" w:rsidP="001624FA">
      <w:pPr>
        <w:jc w:val="right"/>
        <w:rPr>
          <w:rFonts w:ascii="Calibri" w:hAnsi="Calibri"/>
          <w:sz w:val="22"/>
          <w:szCs w:val="22"/>
          <w:u w:val="single"/>
        </w:rPr>
      </w:pPr>
      <w:r>
        <w:rPr>
          <w:rFonts w:ascii="Calibri" w:hAnsi="Calibri"/>
          <w:sz w:val="22"/>
          <w:szCs w:val="22"/>
        </w:rPr>
        <w:br w:type="page"/>
      </w:r>
      <w:r w:rsidRPr="001624FA">
        <w:rPr>
          <w:rFonts w:ascii="Calibri" w:hAnsi="Calibri"/>
          <w:sz w:val="22"/>
          <w:szCs w:val="22"/>
          <w:u w:val="single"/>
        </w:rPr>
        <w:lastRenderedPageBreak/>
        <w:t>ANNEX A</w:t>
      </w:r>
    </w:p>
    <w:p w:rsidR="001624FA" w:rsidRDefault="001624FA" w:rsidP="003B08C9">
      <w:pPr>
        <w:jc w:val="both"/>
        <w:rPr>
          <w:rFonts w:ascii="Calibri" w:hAnsi="Calibri"/>
          <w:sz w:val="22"/>
          <w:szCs w:val="22"/>
        </w:rPr>
      </w:pPr>
    </w:p>
    <w:p w:rsidR="001624FA" w:rsidRDefault="001624FA" w:rsidP="001624FA">
      <w:pPr>
        <w:jc w:val="center"/>
        <w:rPr>
          <w:b/>
        </w:rPr>
      </w:pPr>
      <w:r>
        <w:rPr>
          <w:b/>
        </w:rPr>
        <w:t>Country Indicators/Criteria for City Operating Environments</w:t>
      </w:r>
    </w:p>
    <w:p w:rsidR="001624FA" w:rsidRDefault="001624FA" w:rsidP="001624FA">
      <w:pPr>
        <w:jc w:val="center"/>
        <w:rPr>
          <w:b/>
        </w:rPr>
      </w:pPr>
    </w:p>
    <w:p w:rsidR="001624FA" w:rsidRDefault="001624FA" w:rsidP="001624FA">
      <w:pPr>
        <w:jc w:val="center"/>
        <w:rPr>
          <w:b/>
        </w:rPr>
      </w:pPr>
    </w:p>
    <w:p w:rsidR="001624FA" w:rsidRDefault="001624FA" w:rsidP="001624FA">
      <w:pPr>
        <w:rPr>
          <w:u w:val="single"/>
        </w:rPr>
      </w:pPr>
      <w:r>
        <w:rPr>
          <w:u w:val="single"/>
        </w:rPr>
        <w:t>Constitutional Enabling Environment</w:t>
      </w:r>
    </w:p>
    <w:p w:rsidR="001624FA" w:rsidRDefault="001624FA" w:rsidP="001624FA">
      <w:pPr>
        <w:rPr>
          <w:u w:val="single"/>
        </w:rPr>
      </w:pPr>
    </w:p>
    <w:p w:rsidR="001624FA" w:rsidRDefault="001624FA" w:rsidP="001624FA">
      <w:pPr>
        <w:pStyle w:val="ListParagraph"/>
        <w:numPr>
          <w:ilvl w:val="0"/>
          <w:numId w:val="35"/>
        </w:numPr>
        <w:spacing w:after="0" w:line="240" w:lineRule="auto"/>
      </w:pPr>
      <w:r>
        <w:t xml:space="preserve">National constitution clearly delineates roles and responsibilities of local governments </w:t>
      </w:r>
      <w:proofErr w:type="spellStart"/>
      <w:proofErr w:type="gramStart"/>
      <w:r>
        <w:t>vis</w:t>
      </w:r>
      <w:proofErr w:type="spellEnd"/>
      <w:proofErr w:type="gramEnd"/>
      <w:r>
        <w:t xml:space="preserve"> a </w:t>
      </w:r>
      <w:proofErr w:type="spellStart"/>
      <w:r>
        <w:t>vis</w:t>
      </w:r>
      <w:proofErr w:type="spellEnd"/>
      <w:r>
        <w:t xml:space="preserve"> other tiers/</w:t>
      </w:r>
      <w:r w:rsidR="009738A7">
        <w:t>spheres</w:t>
      </w:r>
      <w:r>
        <w:t xml:space="preserve">- this is the “gold” standard, and is pretty uncommon.  RSA’s 1994 constitution, for instance, clearly states the responsibilities of the 3 “spheres” of government: national, provincial and local.  </w:t>
      </w:r>
    </w:p>
    <w:p w:rsidR="001624FA" w:rsidRDefault="001624FA" w:rsidP="001624FA">
      <w:pPr>
        <w:pStyle w:val="ListParagraph"/>
        <w:numPr>
          <w:ilvl w:val="0"/>
          <w:numId w:val="35"/>
        </w:numPr>
        <w:spacing w:after="0" w:line="240" w:lineRule="auto"/>
      </w:pPr>
      <w:r>
        <w:t>Constitution is neutral on local government- this is the most prevalent situation, no explicit reference as, for instance, in the US constitution.  Neutrality is fine, provided that adequate subsidiary legislation is in place.</w:t>
      </w:r>
    </w:p>
    <w:p w:rsidR="001624FA" w:rsidRDefault="001624FA" w:rsidP="001624FA">
      <w:pPr>
        <w:pStyle w:val="ListParagraph"/>
        <w:numPr>
          <w:ilvl w:val="0"/>
          <w:numId w:val="35"/>
        </w:numPr>
        <w:spacing w:after="0" w:line="240" w:lineRule="auto"/>
      </w:pPr>
      <w:r>
        <w:t xml:space="preserve">Constitution contains implicit or explicit provisions that limit or hinder effective local governance- this situation is pretty typical in post-colonial African constitutions that often enshrine hierarchical administrative systems controlled centrally (centrally appointed district commissioners, provincial governors, etc) which impede local accountability and autonomy.  Frequently, countries adopt subsidiary local government legislation without repealing the constitutional provisions for </w:t>
      </w:r>
      <w:proofErr w:type="spellStart"/>
      <w:r>
        <w:t>deconcentrated</w:t>
      </w:r>
      <w:proofErr w:type="spellEnd"/>
      <w:r>
        <w:t xml:space="preserve"> centralism, thereby creating a perpetual conflict situation.</w:t>
      </w:r>
    </w:p>
    <w:p w:rsidR="001624FA" w:rsidRDefault="001624FA" w:rsidP="001624FA"/>
    <w:p w:rsidR="001624FA" w:rsidRDefault="001624FA" w:rsidP="001624FA">
      <w:pPr>
        <w:rPr>
          <w:u w:val="single"/>
        </w:rPr>
      </w:pPr>
      <w:r>
        <w:rPr>
          <w:u w:val="single"/>
        </w:rPr>
        <w:t>Legislative Enabling Environment</w:t>
      </w:r>
    </w:p>
    <w:p w:rsidR="001624FA" w:rsidRDefault="001624FA" w:rsidP="001624FA">
      <w:pPr>
        <w:rPr>
          <w:u w:val="single"/>
        </w:rPr>
      </w:pPr>
    </w:p>
    <w:p w:rsidR="001624FA" w:rsidRPr="00943C52" w:rsidRDefault="001624FA" w:rsidP="001624FA">
      <w:pPr>
        <w:pStyle w:val="ListParagraph"/>
        <w:numPr>
          <w:ilvl w:val="0"/>
          <w:numId w:val="36"/>
        </w:numPr>
        <w:spacing w:after="0" w:line="240" w:lineRule="auto"/>
        <w:rPr>
          <w:u w:val="single"/>
        </w:rPr>
      </w:pPr>
      <w:r>
        <w:t>Legislation clearly defines roles and responsibilities of local governments, no conflict with constitutional provisions- gold standard, pretty rare, Ethiopia a good example.</w:t>
      </w:r>
    </w:p>
    <w:p w:rsidR="001624FA" w:rsidRPr="001C63C7" w:rsidRDefault="001624FA" w:rsidP="001624FA">
      <w:pPr>
        <w:pStyle w:val="ListParagraph"/>
        <w:numPr>
          <w:ilvl w:val="0"/>
          <w:numId w:val="36"/>
        </w:numPr>
        <w:spacing w:after="0" w:line="240" w:lineRule="auto"/>
        <w:rPr>
          <w:u w:val="single"/>
        </w:rPr>
      </w:pPr>
      <w:r>
        <w:t>Clear legislation in conflict with constitutional provisions- pretty common (Zambia and other former British colonies), leads to perpetual conflict especially in run up to national elections.</w:t>
      </w:r>
    </w:p>
    <w:p w:rsidR="001624FA" w:rsidRPr="001C63C7" w:rsidRDefault="001624FA" w:rsidP="001624FA">
      <w:pPr>
        <w:pStyle w:val="ListParagraph"/>
        <w:numPr>
          <w:ilvl w:val="0"/>
          <w:numId w:val="36"/>
        </w:numPr>
        <w:spacing w:after="0" w:line="240" w:lineRule="auto"/>
        <w:rPr>
          <w:u w:val="single"/>
        </w:rPr>
      </w:pPr>
      <w:r>
        <w:t>Muddled legislation- also pretty common (some Nigerian states, etc) leading to unpredictable swings in local governance.</w:t>
      </w:r>
    </w:p>
    <w:p w:rsidR="001624FA" w:rsidRDefault="001624FA" w:rsidP="001624FA">
      <w:pPr>
        <w:rPr>
          <w:u w:val="single"/>
        </w:rPr>
      </w:pPr>
    </w:p>
    <w:p w:rsidR="001624FA" w:rsidRDefault="001624FA" w:rsidP="001624FA">
      <w:pPr>
        <w:rPr>
          <w:u w:val="single"/>
        </w:rPr>
      </w:pPr>
      <w:r>
        <w:rPr>
          <w:u w:val="single"/>
        </w:rPr>
        <w:t>Intergovernmental Fiscal Arrangements</w:t>
      </w:r>
    </w:p>
    <w:p w:rsidR="001624FA" w:rsidRDefault="001624FA" w:rsidP="001624FA">
      <w:pPr>
        <w:rPr>
          <w:u w:val="single"/>
        </w:rPr>
      </w:pPr>
    </w:p>
    <w:p w:rsidR="001624FA" w:rsidRDefault="001624FA" w:rsidP="001624FA">
      <w:pPr>
        <w:pStyle w:val="ListParagraph"/>
        <w:numPr>
          <w:ilvl w:val="0"/>
          <w:numId w:val="37"/>
        </w:numPr>
        <w:spacing w:after="0" w:line="240" w:lineRule="auto"/>
      </w:pPr>
      <w:r>
        <w:t xml:space="preserve">Clear, predictable, formula driven allocations to local governments occur in a timely fashion through a medium term framework.  SA is the gold standard here, Ethiopia getting </w:t>
      </w:r>
      <w:proofErr w:type="gramStart"/>
      <w:r>
        <w:t>close,</w:t>
      </w:r>
      <w:proofErr w:type="gramEnd"/>
      <w:r>
        <w:t xml:space="preserve"> Mongolia’s new Budget Law is good (although I haven’t seen the final approved English version yet).</w:t>
      </w:r>
    </w:p>
    <w:p w:rsidR="001624FA" w:rsidRDefault="001624FA" w:rsidP="001624FA">
      <w:pPr>
        <w:pStyle w:val="ListParagraph"/>
        <w:numPr>
          <w:ilvl w:val="0"/>
          <w:numId w:val="37"/>
        </w:numPr>
        <w:spacing w:after="0" w:line="240" w:lineRule="auto"/>
      </w:pPr>
      <w:r>
        <w:t>Ad hoc but stable annual allocations- Zambia typified this till copper prices tanked in the ‘80s, Zimbabwe till the ‘90s, several others.  Problem is that when national budget gets squeezed, ad hoc allocations to local governments are usually first to shrink.</w:t>
      </w:r>
    </w:p>
    <w:p w:rsidR="001624FA" w:rsidRDefault="001624FA" w:rsidP="001624FA">
      <w:pPr>
        <w:pStyle w:val="ListParagraph"/>
        <w:numPr>
          <w:ilvl w:val="0"/>
          <w:numId w:val="37"/>
        </w:numPr>
        <w:spacing w:after="0" w:line="240" w:lineRule="auto"/>
      </w:pPr>
      <w:r>
        <w:t>Totally ad hoc allocations- most common, highly political and unpredictable, very difficult to plan and manage effectively at local level.</w:t>
      </w:r>
    </w:p>
    <w:p w:rsidR="001624FA" w:rsidRDefault="001624FA" w:rsidP="001624FA">
      <w:pPr>
        <w:pStyle w:val="ListParagraph"/>
      </w:pPr>
    </w:p>
    <w:p w:rsidR="001624FA" w:rsidRDefault="001624FA" w:rsidP="001624FA"/>
    <w:p w:rsidR="001624FA" w:rsidRDefault="001624FA" w:rsidP="001624FA">
      <w:pPr>
        <w:rPr>
          <w:u w:val="single"/>
        </w:rPr>
      </w:pPr>
      <w:r>
        <w:rPr>
          <w:u w:val="single"/>
        </w:rPr>
        <w:t>Local Own Revenue Bases</w:t>
      </w:r>
    </w:p>
    <w:p w:rsidR="001624FA" w:rsidRDefault="001624FA" w:rsidP="001624FA">
      <w:pPr>
        <w:rPr>
          <w:u w:val="single"/>
        </w:rPr>
      </w:pPr>
    </w:p>
    <w:p w:rsidR="001624FA" w:rsidRDefault="001624FA" w:rsidP="001624FA">
      <w:pPr>
        <w:pStyle w:val="ListParagraph"/>
        <w:numPr>
          <w:ilvl w:val="0"/>
          <w:numId w:val="38"/>
        </w:numPr>
        <w:spacing w:after="0" w:line="240" w:lineRule="auto"/>
      </w:pPr>
      <w:r>
        <w:lastRenderedPageBreak/>
        <w:t>Clearly defined, aligned with local delivery responsibilities, and not subject to central intervention- very rare, SA.</w:t>
      </w:r>
    </w:p>
    <w:p w:rsidR="001624FA" w:rsidRDefault="001624FA" w:rsidP="001624FA">
      <w:pPr>
        <w:pStyle w:val="ListParagraph"/>
        <w:numPr>
          <w:ilvl w:val="0"/>
          <w:numId w:val="38"/>
        </w:numPr>
        <w:spacing w:after="0" w:line="240" w:lineRule="auto"/>
      </w:pPr>
      <w:r>
        <w:t>Clearly defined but subject to central intervention- more common, center reserves right to approve tariff/fee increases often forcing LGs to supply services below cost.  Interesting approach in Ethiopia, center/regions approve bandwidths for key local tariffs, allowing flexibility within limits.</w:t>
      </w:r>
    </w:p>
    <w:p w:rsidR="001624FA" w:rsidRDefault="001624FA" w:rsidP="001624FA">
      <w:pPr>
        <w:pStyle w:val="ListParagraph"/>
        <w:numPr>
          <w:ilvl w:val="0"/>
          <w:numId w:val="38"/>
        </w:numPr>
        <w:spacing w:after="0" w:line="240" w:lineRule="auto"/>
      </w:pPr>
      <w:r>
        <w:t>Centrally defined and/or collected- pretty typical, severely constrains local autonomy.</w:t>
      </w:r>
    </w:p>
    <w:p w:rsidR="001624FA" w:rsidRDefault="001624FA" w:rsidP="001624FA"/>
    <w:p w:rsidR="001624FA" w:rsidRDefault="001624FA" w:rsidP="001624FA">
      <w:pPr>
        <w:rPr>
          <w:u w:val="single"/>
        </w:rPr>
      </w:pPr>
      <w:r>
        <w:rPr>
          <w:u w:val="single"/>
        </w:rPr>
        <w:t>Accountability Relationships</w:t>
      </w:r>
    </w:p>
    <w:p w:rsidR="001624FA" w:rsidRDefault="001624FA" w:rsidP="001624FA">
      <w:pPr>
        <w:rPr>
          <w:u w:val="single"/>
        </w:rPr>
      </w:pPr>
    </w:p>
    <w:p w:rsidR="001624FA" w:rsidRPr="002A2415" w:rsidRDefault="001624FA" w:rsidP="001624FA">
      <w:pPr>
        <w:pStyle w:val="ListParagraph"/>
        <w:numPr>
          <w:ilvl w:val="0"/>
          <w:numId w:val="39"/>
        </w:numPr>
        <w:spacing w:after="0" w:line="240" w:lineRule="auto"/>
        <w:rPr>
          <w:u w:val="single"/>
        </w:rPr>
      </w:pPr>
      <w:r>
        <w:t>LG officials directly elected by and accountable to LG voters- very rare, even SA does not allow direct election of Mayors.</w:t>
      </w:r>
    </w:p>
    <w:p w:rsidR="001624FA" w:rsidRPr="002A2415" w:rsidRDefault="001624FA" w:rsidP="001624FA">
      <w:pPr>
        <w:pStyle w:val="ListParagraph"/>
        <w:numPr>
          <w:ilvl w:val="0"/>
          <w:numId w:val="39"/>
        </w:numPr>
        <w:spacing w:after="0" w:line="240" w:lineRule="auto"/>
        <w:rPr>
          <w:u w:val="single"/>
        </w:rPr>
      </w:pPr>
      <w:r>
        <w:t>LG officials directly elected, but subject to central interventions- fairly common, center may frequently step in to replace mayors, councils, executives, still the case in Ethiopia, Swaziland and many other countries.</w:t>
      </w:r>
    </w:p>
    <w:p w:rsidR="001624FA" w:rsidRPr="004421B7" w:rsidRDefault="001624FA" w:rsidP="001624FA">
      <w:pPr>
        <w:pStyle w:val="ListParagraph"/>
        <w:numPr>
          <w:ilvl w:val="0"/>
          <w:numId w:val="39"/>
        </w:numPr>
        <w:spacing w:after="0" w:line="240" w:lineRule="auto"/>
        <w:rPr>
          <w:u w:val="single"/>
        </w:rPr>
      </w:pPr>
      <w:r>
        <w:t>LG officials elected, but LG administrators centrally appointed- still pretty common, effectively marginalizes elected officials and limits accountability to local populace.</w:t>
      </w:r>
    </w:p>
    <w:p w:rsidR="001624FA" w:rsidRDefault="001624FA" w:rsidP="001624FA">
      <w:pPr>
        <w:rPr>
          <w:u w:val="single"/>
        </w:rPr>
      </w:pPr>
    </w:p>
    <w:p w:rsidR="001624FA" w:rsidRDefault="001624FA" w:rsidP="001624FA">
      <w:pPr>
        <w:rPr>
          <w:u w:val="single"/>
        </w:rPr>
      </w:pPr>
      <w:r>
        <w:rPr>
          <w:u w:val="single"/>
        </w:rPr>
        <w:t>Transparency</w:t>
      </w:r>
    </w:p>
    <w:p w:rsidR="001624FA" w:rsidRDefault="001624FA" w:rsidP="001624FA">
      <w:pPr>
        <w:rPr>
          <w:u w:val="single"/>
        </w:rPr>
      </w:pPr>
    </w:p>
    <w:p w:rsidR="001624FA" w:rsidRDefault="001624FA" w:rsidP="001624FA">
      <w:pPr>
        <w:pStyle w:val="ListParagraph"/>
        <w:numPr>
          <w:ilvl w:val="0"/>
          <w:numId w:val="40"/>
        </w:numPr>
        <w:spacing w:after="0" w:line="240" w:lineRule="auto"/>
      </w:pPr>
      <w:r w:rsidRPr="004421B7">
        <w:t>LGs</w:t>
      </w:r>
      <w:r>
        <w:t>’</w:t>
      </w:r>
      <w:r w:rsidRPr="004421B7">
        <w:t xml:space="preserve"> accounts routinely </w:t>
      </w:r>
      <w:r>
        <w:t xml:space="preserve">and independently </w:t>
      </w:r>
      <w:r w:rsidRPr="004421B7">
        <w:t>audited</w:t>
      </w:r>
      <w:r>
        <w:t xml:space="preserve"> and made public- still pretty rare, SA does this, Ethiopia also but with government auditors.</w:t>
      </w:r>
    </w:p>
    <w:p w:rsidR="001624FA" w:rsidRDefault="001624FA" w:rsidP="001624FA">
      <w:pPr>
        <w:pStyle w:val="ListParagraph"/>
        <w:numPr>
          <w:ilvl w:val="0"/>
          <w:numId w:val="40"/>
        </w:numPr>
        <w:spacing w:after="0" w:line="240" w:lineRule="auto"/>
      </w:pPr>
      <w:r>
        <w:t>LG audits required but significantly in arrears- multi-year LG annual audit backlogs are common, rarely dealt with unless donors demand.</w:t>
      </w:r>
    </w:p>
    <w:p w:rsidR="001624FA" w:rsidRDefault="001624FA" w:rsidP="001624FA">
      <w:pPr>
        <w:pStyle w:val="ListParagraph"/>
        <w:numPr>
          <w:ilvl w:val="0"/>
          <w:numId w:val="40"/>
        </w:numPr>
        <w:spacing w:after="0" w:line="240" w:lineRule="auto"/>
      </w:pPr>
      <w:r>
        <w:t>No independent auditing- pretty common, fundamentally distorts transparency.</w:t>
      </w:r>
    </w:p>
    <w:p w:rsidR="001624FA" w:rsidRDefault="001624FA" w:rsidP="001624FA"/>
    <w:p w:rsidR="001624FA" w:rsidRDefault="001624FA" w:rsidP="001624FA">
      <w:pPr>
        <w:rPr>
          <w:u w:val="single"/>
        </w:rPr>
      </w:pPr>
      <w:r>
        <w:rPr>
          <w:u w:val="single"/>
        </w:rPr>
        <w:t>LG Capacity</w:t>
      </w:r>
    </w:p>
    <w:p w:rsidR="001624FA" w:rsidRDefault="001624FA" w:rsidP="001624FA">
      <w:pPr>
        <w:rPr>
          <w:u w:val="single"/>
        </w:rPr>
      </w:pPr>
    </w:p>
    <w:p w:rsidR="001624FA" w:rsidRPr="004421B7" w:rsidRDefault="001624FA" w:rsidP="001624FA">
      <w:pPr>
        <w:pStyle w:val="ListParagraph"/>
        <w:numPr>
          <w:ilvl w:val="0"/>
          <w:numId w:val="41"/>
        </w:numPr>
        <w:spacing w:after="0" w:line="240" w:lineRule="auto"/>
        <w:rPr>
          <w:u w:val="single"/>
        </w:rPr>
      </w:pPr>
      <w:r>
        <w:t>Strong LG training programs- still rare, Ethiopian Civil Service College Masters Degree in Urban Management (adapted from IHS) probably best on continent.</w:t>
      </w:r>
    </w:p>
    <w:p w:rsidR="001624FA" w:rsidRPr="00FF1A69" w:rsidRDefault="001624FA" w:rsidP="001624FA">
      <w:pPr>
        <w:pStyle w:val="ListParagraph"/>
        <w:numPr>
          <w:ilvl w:val="0"/>
          <w:numId w:val="41"/>
        </w:numPr>
        <w:spacing w:after="0" w:line="240" w:lineRule="auto"/>
        <w:rPr>
          <w:u w:val="single"/>
        </w:rPr>
      </w:pPr>
      <w:r>
        <w:t>Intermittent training- pretty common, usually donor driven</w:t>
      </w:r>
    </w:p>
    <w:p w:rsidR="001624FA" w:rsidRPr="00FF1A69" w:rsidRDefault="001624FA" w:rsidP="001624FA">
      <w:pPr>
        <w:pStyle w:val="ListParagraph"/>
        <w:numPr>
          <w:ilvl w:val="0"/>
          <w:numId w:val="41"/>
        </w:numPr>
        <w:spacing w:after="0" w:line="240" w:lineRule="auto"/>
        <w:rPr>
          <w:u w:val="single"/>
        </w:rPr>
      </w:pPr>
      <w:r>
        <w:t>Little or no training available in country- very common, results in reliance on donors and under valuing of LG career paths.</w:t>
      </w:r>
    </w:p>
    <w:p w:rsidR="001624FA" w:rsidRPr="00FF1A69" w:rsidRDefault="001624FA" w:rsidP="001624FA">
      <w:pPr>
        <w:pStyle w:val="ListParagraph"/>
        <w:rPr>
          <w:u w:val="single"/>
        </w:rPr>
      </w:pPr>
    </w:p>
    <w:p w:rsidR="001624FA" w:rsidRPr="00FF1A69" w:rsidRDefault="001624FA" w:rsidP="001624FA">
      <w:pPr>
        <w:rPr>
          <w:u w:val="single"/>
        </w:rPr>
      </w:pPr>
      <w:r>
        <w:rPr>
          <w:u w:val="single"/>
        </w:rPr>
        <w:t>Community Consultation</w:t>
      </w:r>
    </w:p>
    <w:p w:rsidR="001624FA" w:rsidRDefault="001624FA" w:rsidP="001624FA">
      <w:pPr>
        <w:rPr>
          <w:u w:val="single"/>
        </w:rPr>
      </w:pPr>
    </w:p>
    <w:p w:rsidR="001624FA" w:rsidRDefault="001624FA" w:rsidP="001624FA">
      <w:pPr>
        <w:pStyle w:val="ListParagraph"/>
        <w:numPr>
          <w:ilvl w:val="0"/>
          <w:numId w:val="42"/>
        </w:numPr>
        <w:spacing w:after="0" w:line="240" w:lineRule="auto"/>
      </w:pPr>
      <w:r w:rsidRPr="00FF1A69">
        <w:t xml:space="preserve">Routine public consultation </w:t>
      </w:r>
      <w:r>
        <w:t>on investment and service priorities, reflected in actual budgets- very rare, SA goes thru the motions, Ethiopia does pretty well.</w:t>
      </w:r>
    </w:p>
    <w:p w:rsidR="001624FA" w:rsidRDefault="001624FA" w:rsidP="001624FA">
      <w:pPr>
        <w:pStyle w:val="ListParagraph"/>
        <w:numPr>
          <w:ilvl w:val="0"/>
          <w:numId w:val="42"/>
        </w:numPr>
        <w:spacing w:after="0" w:line="240" w:lineRule="auto"/>
      </w:pPr>
      <w:r>
        <w:t>Sporadic public consultation- typical, usually donor driven.</w:t>
      </w:r>
    </w:p>
    <w:p w:rsidR="001624FA" w:rsidRDefault="001624FA" w:rsidP="001624FA">
      <w:pPr>
        <w:pStyle w:val="ListParagraph"/>
        <w:numPr>
          <w:ilvl w:val="0"/>
          <w:numId w:val="42"/>
        </w:numPr>
        <w:spacing w:after="0" w:line="240" w:lineRule="auto"/>
      </w:pPr>
      <w:r>
        <w:t>Little or no consultation- typical.</w:t>
      </w:r>
    </w:p>
    <w:p w:rsidR="001624FA" w:rsidRDefault="001624FA" w:rsidP="001624FA"/>
    <w:p w:rsidR="001624FA" w:rsidRDefault="001624FA" w:rsidP="001624FA"/>
    <w:p w:rsidR="001624FA" w:rsidRDefault="001624FA" w:rsidP="001624FA">
      <w:pPr>
        <w:rPr>
          <w:u w:val="single"/>
        </w:rPr>
      </w:pPr>
      <w:r>
        <w:rPr>
          <w:u w:val="single"/>
        </w:rPr>
        <w:t>Objective LG Performance Evaluation</w:t>
      </w:r>
    </w:p>
    <w:p w:rsidR="001624FA" w:rsidRDefault="001624FA" w:rsidP="001624FA">
      <w:pPr>
        <w:rPr>
          <w:u w:val="single"/>
        </w:rPr>
      </w:pPr>
    </w:p>
    <w:p w:rsidR="001624FA" w:rsidRDefault="001624FA" w:rsidP="001624FA">
      <w:pPr>
        <w:pStyle w:val="ListParagraph"/>
        <w:numPr>
          <w:ilvl w:val="0"/>
          <w:numId w:val="43"/>
        </w:numPr>
        <w:spacing w:after="0" w:line="240" w:lineRule="auto"/>
      </w:pPr>
      <w:r>
        <w:t>Regular independent assessments- very rare, only Ethiopia which is still driven by Bank requirements.</w:t>
      </w:r>
    </w:p>
    <w:p w:rsidR="001624FA" w:rsidRDefault="001624FA" w:rsidP="001624FA">
      <w:pPr>
        <w:pStyle w:val="ListParagraph"/>
        <w:numPr>
          <w:ilvl w:val="0"/>
          <w:numId w:val="43"/>
        </w:numPr>
        <w:spacing w:after="0" w:line="240" w:lineRule="auto"/>
      </w:pPr>
      <w:r>
        <w:lastRenderedPageBreak/>
        <w:t>Irregular assessments- also pretty rare, and usually donor driven.</w:t>
      </w:r>
    </w:p>
    <w:p w:rsidR="001624FA" w:rsidRDefault="001624FA" w:rsidP="001624FA">
      <w:pPr>
        <w:pStyle w:val="ListParagraph"/>
        <w:numPr>
          <w:ilvl w:val="0"/>
          <w:numId w:val="43"/>
        </w:numPr>
        <w:spacing w:after="0" w:line="240" w:lineRule="auto"/>
      </w:pPr>
      <w:r>
        <w:t>No real assessments- common.</w:t>
      </w:r>
    </w:p>
    <w:p w:rsidR="001624FA" w:rsidRDefault="001624FA" w:rsidP="001624FA"/>
    <w:p w:rsidR="001624FA" w:rsidRDefault="001624FA" w:rsidP="001624FA">
      <w:pPr>
        <w:rPr>
          <w:u w:val="single"/>
        </w:rPr>
      </w:pPr>
      <w:r>
        <w:rPr>
          <w:u w:val="single"/>
        </w:rPr>
        <w:t>Strategic Environment</w:t>
      </w:r>
    </w:p>
    <w:p w:rsidR="001624FA" w:rsidRDefault="001624FA" w:rsidP="001624FA">
      <w:pPr>
        <w:rPr>
          <w:u w:val="single"/>
        </w:rPr>
      </w:pPr>
    </w:p>
    <w:p w:rsidR="001624FA" w:rsidRDefault="001624FA" w:rsidP="001624FA">
      <w:pPr>
        <w:pStyle w:val="ListParagraph"/>
        <w:numPr>
          <w:ilvl w:val="0"/>
          <w:numId w:val="44"/>
        </w:numPr>
        <w:spacing w:after="0" w:line="240" w:lineRule="auto"/>
      </w:pPr>
      <w:r>
        <w:t>Clear national urbanization strategy and committed action plan- very rare, apparently Benin, and Ethiopia</w:t>
      </w:r>
    </w:p>
    <w:p w:rsidR="001624FA" w:rsidRDefault="001624FA" w:rsidP="001624FA">
      <w:pPr>
        <w:pStyle w:val="ListParagraph"/>
        <w:numPr>
          <w:ilvl w:val="0"/>
          <w:numId w:val="44"/>
        </w:numPr>
        <w:spacing w:after="0" w:line="240" w:lineRule="auto"/>
      </w:pPr>
      <w:r>
        <w:t>Muddled strategy with weak commitment- common.</w:t>
      </w:r>
    </w:p>
    <w:p w:rsidR="001624FA" w:rsidRPr="00D82C36" w:rsidRDefault="001624FA" w:rsidP="001624FA">
      <w:pPr>
        <w:pStyle w:val="ListParagraph"/>
        <w:numPr>
          <w:ilvl w:val="0"/>
          <w:numId w:val="44"/>
        </w:numPr>
        <w:spacing w:after="0" w:line="240" w:lineRule="auto"/>
      </w:pPr>
      <w:r>
        <w:t>No real strategy/rural bias by politicians- common.</w:t>
      </w:r>
    </w:p>
    <w:p w:rsidR="001624FA" w:rsidRPr="007D65EA" w:rsidRDefault="001624FA" w:rsidP="001624FA"/>
    <w:p w:rsidR="001624FA" w:rsidRDefault="001624FA" w:rsidP="003B08C9">
      <w:pPr>
        <w:jc w:val="both"/>
        <w:rPr>
          <w:rFonts w:ascii="Calibri" w:hAnsi="Calibri"/>
          <w:sz w:val="22"/>
          <w:szCs w:val="22"/>
        </w:rPr>
      </w:pPr>
    </w:p>
    <w:p w:rsidR="001624FA" w:rsidRPr="00C42AF6" w:rsidRDefault="001624FA" w:rsidP="003B08C9">
      <w:pPr>
        <w:jc w:val="both"/>
        <w:rPr>
          <w:rFonts w:ascii="Calibri" w:hAnsi="Calibri"/>
          <w:sz w:val="22"/>
          <w:szCs w:val="22"/>
        </w:rPr>
      </w:pPr>
    </w:p>
    <w:sectPr w:rsidR="001624FA" w:rsidRPr="00C42AF6" w:rsidSect="00D35735">
      <w:headerReference w:type="even" r:id="rId13"/>
      <w:headerReference w:type="default" r:id="rId14"/>
      <w:footerReference w:type="default" r:id="rId15"/>
      <w:headerReference w:type="first" r:id="rId16"/>
      <w:pgSz w:w="12240" w:h="15840" w:code="1"/>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409" w:rsidRDefault="00F17409">
      <w:r>
        <w:separator/>
      </w:r>
    </w:p>
  </w:endnote>
  <w:endnote w:type="continuationSeparator" w:id="0">
    <w:p w:rsidR="00F17409" w:rsidRDefault="00F174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3C" w:rsidRPr="00C12789" w:rsidRDefault="00C64102">
    <w:pPr>
      <w:pStyle w:val="Footer"/>
      <w:jc w:val="center"/>
      <w:rPr>
        <w:rFonts w:ascii="Calibri" w:hAnsi="Calibri"/>
        <w:sz w:val="22"/>
        <w:szCs w:val="22"/>
      </w:rPr>
    </w:pPr>
    <w:r w:rsidRPr="00C12789">
      <w:rPr>
        <w:rFonts w:ascii="Calibri" w:hAnsi="Calibri"/>
        <w:sz w:val="22"/>
        <w:szCs w:val="22"/>
      </w:rPr>
      <w:fldChar w:fldCharType="begin"/>
    </w:r>
    <w:r w:rsidR="008B153C" w:rsidRPr="00C12789">
      <w:rPr>
        <w:rFonts w:ascii="Calibri" w:hAnsi="Calibri"/>
        <w:sz w:val="22"/>
        <w:szCs w:val="22"/>
      </w:rPr>
      <w:instrText xml:space="preserve"> PAGE   \* MERGEFORMAT </w:instrText>
    </w:r>
    <w:r w:rsidRPr="00C12789">
      <w:rPr>
        <w:rFonts w:ascii="Calibri" w:hAnsi="Calibri"/>
        <w:sz w:val="22"/>
        <w:szCs w:val="22"/>
      </w:rPr>
      <w:fldChar w:fldCharType="separate"/>
    </w:r>
    <w:r w:rsidR="0082269A">
      <w:rPr>
        <w:rFonts w:ascii="Calibri" w:hAnsi="Calibri"/>
        <w:noProof/>
        <w:sz w:val="22"/>
        <w:szCs w:val="22"/>
      </w:rPr>
      <w:t>11</w:t>
    </w:r>
    <w:r w:rsidRPr="00C12789">
      <w:rPr>
        <w:rFonts w:ascii="Calibri" w:hAnsi="Calibri"/>
        <w:sz w:val="22"/>
        <w:szCs w:val="22"/>
      </w:rPr>
      <w:fldChar w:fldCharType="end"/>
    </w:r>
  </w:p>
  <w:p w:rsidR="008B153C" w:rsidRDefault="008B1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409" w:rsidRDefault="00F17409">
      <w:r>
        <w:separator/>
      </w:r>
    </w:p>
  </w:footnote>
  <w:footnote w:type="continuationSeparator" w:id="0">
    <w:p w:rsidR="00F17409" w:rsidRDefault="00F17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3C" w:rsidRDefault="00C641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3C" w:rsidRPr="00123AE0" w:rsidRDefault="00D0340A" w:rsidP="00123AE0">
    <w:pPr>
      <w:pStyle w:val="Header"/>
      <w:tabs>
        <w:tab w:val="left" w:pos="1620"/>
      </w:tabs>
      <w:rPr>
        <w:rFonts w:ascii="Calibri" w:hAnsi="Calibri"/>
      </w:rPr>
    </w:pPr>
    <w:r>
      <w:rPr>
        <w:rFonts w:ascii="Calibri" w:hAnsi="Calibri"/>
      </w:rPr>
      <w:t>February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53C" w:rsidRDefault="00C641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36C"/>
    <w:multiLevelType w:val="multilevel"/>
    <w:tmpl w:val="CBC26992"/>
    <w:lvl w:ilvl="0">
      <w:start w:val="1"/>
      <w:numFmt w:val="lowerRoman"/>
      <w:lvlText w:val="%1."/>
      <w:lvlJc w:val="right"/>
      <w:pPr>
        <w:tabs>
          <w:tab w:val="num" w:pos="180"/>
        </w:tabs>
        <w:ind w:left="180" w:hanging="180"/>
      </w:p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
    <w:nsid w:val="017A4BC6"/>
    <w:multiLevelType w:val="hybridMultilevel"/>
    <w:tmpl w:val="832E1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410DDD"/>
    <w:multiLevelType w:val="hybridMultilevel"/>
    <w:tmpl w:val="FA2E7984"/>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24235"/>
    <w:multiLevelType w:val="hybridMultilevel"/>
    <w:tmpl w:val="5D8063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045618"/>
    <w:multiLevelType w:val="hybridMultilevel"/>
    <w:tmpl w:val="1B108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5139A1"/>
    <w:multiLevelType w:val="hybridMultilevel"/>
    <w:tmpl w:val="3A88F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0E235B"/>
    <w:multiLevelType w:val="hybridMultilevel"/>
    <w:tmpl w:val="A6D00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1A5C89"/>
    <w:multiLevelType w:val="hybridMultilevel"/>
    <w:tmpl w:val="9320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165C3"/>
    <w:multiLevelType w:val="hybridMultilevel"/>
    <w:tmpl w:val="643CBE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FB1F7F"/>
    <w:multiLevelType w:val="multilevel"/>
    <w:tmpl w:val="2DB04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2E741F8"/>
    <w:multiLevelType w:val="hybridMultilevel"/>
    <w:tmpl w:val="022462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3A35416"/>
    <w:multiLevelType w:val="hybridMultilevel"/>
    <w:tmpl w:val="16369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6E2923"/>
    <w:multiLevelType w:val="hybridMultilevel"/>
    <w:tmpl w:val="D370F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16885"/>
    <w:multiLevelType w:val="hybridMultilevel"/>
    <w:tmpl w:val="59B63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0962D0"/>
    <w:multiLevelType w:val="hybridMultilevel"/>
    <w:tmpl w:val="FE12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8264BF"/>
    <w:multiLevelType w:val="multilevel"/>
    <w:tmpl w:val="A72607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2E4DD2"/>
    <w:multiLevelType w:val="hybridMultilevel"/>
    <w:tmpl w:val="9248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071B4"/>
    <w:multiLevelType w:val="hybridMultilevel"/>
    <w:tmpl w:val="7B887B5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C968C9"/>
    <w:multiLevelType w:val="hybridMultilevel"/>
    <w:tmpl w:val="504CE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5C611D"/>
    <w:multiLevelType w:val="hybridMultilevel"/>
    <w:tmpl w:val="D78240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563282"/>
    <w:multiLevelType w:val="hybridMultilevel"/>
    <w:tmpl w:val="D396B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87084B"/>
    <w:multiLevelType w:val="hybridMultilevel"/>
    <w:tmpl w:val="CBC26992"/>
    <w:lvl w:ilvl="0" w:tplc="0409001B">
      <w:start w:val="1"/>
      <w:numFmt w:val="lowerRoman"/>
      <w:lvlText w:val="%1."/>
      <w:lvlJc w:val="right"/>
      <w:pPr>
        <w:tabs>
          <w:tab w:val="num" w:pos="180"/>
        </w:tabs>
        <w:ind w:left="180" w:hanging="18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2">
    <w:nsid w:val="46654D61"/>
    <w:multiLevelType w:val="hybridMultilevel"/>
    <w:tmpl w:val="A6A22B0A"/>
    <w:lvl w:ilvl="0" w:tplc="4528860A">
      <w:start w:val="5"/>
      <w:numFmt w:val="bullet"/>
      <w:lvlText w:val=""/>
      <w:lvlJc w:val="left"/>
      <w:pPr>
        <w:ind w:left="492" w:hanging="360"/>
      </w:pPr>
      <w:rPr>
        <w:rFonts w:ascii="Wingdings" w:eastAsia="Times New Roman" w:hAnsi="Wingdings" w:cs="Times New Roman"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23">
    <w:nsid w:val="4A6E3143"/>
    <w:multiLevelType w:val="hybridMultilevel"/>
    <w:tmpl w:val="2C62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D34900"/>
    <w:multiLevelType w:val="hybridMultilevel"/>
    <w:tmpl w:val="9C92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5364BA"/>
    <w:multiLevelType w:val="hybridMultilevel"/>
    <w:tmpl w:val="E1B6947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8477CD"/>
    <w:multiLevelType w:val="hybridMultilevel"/>
    <w:tmpl w:val="3A1E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3C13CE"/>
    <w:multiLevelType w:val="hybridMultilevel"/>
    <w:tmpl w:val="19A4F16E"/>
    <w:lvl w:ilvl="0" w:tplc="C2ACDAD2">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29538D"/>
    <w:multiLevelType w:val="multilevel"/>
    <w:tmpl w:val="1B108B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268369F"/>
    <w:multiLevelType w:val="hybridMultilevel"/>
    <w:tmpl w:val="5EC652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004BBD"/>
    <w:multiLevelType w:val="hybridMultilevel"/>
    <w:tmpl w:val="8E40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A5171"/>
    <w:multiLevelType w:val="hybridMultilevel"/>
    <w:tmpl w:val="53AE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D42E9"/>
    <w:multiLevelType w:val="hybridMultilevel"/>
    <w:tmpl w:val="51D8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F3452C"/>
    <w:multiLevelType w:val="hybridMultilevel"/>
    <w:tmpl w:val="C626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E41593"/>
    <w:multiLevelType w:val="hybridMultilevel"/>
    <w:tmpl w:val="A52E3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0F7902"/>
    <w:multiLevelType w:val="hybridMultilevel"/>
    <w:tmpl w:val="2DB04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8E0EFE"/>
    <w:multiLevelType w:val="hybridMultilevel"/>
    <w:tmpl w:val="04CE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742479"/>
    <w:multiLevelType w:val="hybridMultilevel"/>
    <w:tmpl w:val="E07A5F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9A5D11"/>
    <w:multiLevelType w:val="hybridMultilevel"/>
    <w:tmpl w:val="3284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D9387F"/>
    <w:multiLevelType w:val="hybridMultilevel"/>
    <w:tmpl w:val="34C24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31B1A9A"/>
    <w:multiLevelType w:val="hybridMultilevel"/>
    <w:tmpl w:val="DCF2A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C674B8"/>
    <w:multiLevelType w:val="hybridMultilevel"/>
    <w:tmpl w:val="10167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552696"/>
    <w:multiLevelType w:val="hybridMultilevel"/>
    <w:tmpl w:val="1C68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82F9C"/>
    <w:multiLevelType w:val="hybridMultilevel"/>
    <w:tmpl w:val="415CE7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646A2F"/>
    <w:multiLevelType w:val="hybridMultilevel"/>
    <w:tmpl w:val="8BD6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18"/>
  </w:num>
  <w:num w:numId="4">
    <w:abstractNumId w:val="41"/>
  </w:num>
  <w:num w:numId="5">
    <w:abstractNumId w:val="34"/>
  </w:num>
  <w:num w:numId="6">
    <w:abstractNumId w:val="4"/>
  </w:num>
  <w:num w:numId="7">
    <w:abstractNumId w:val="19"/>
  </w:num>
  <w:num w:numId="8">
    <w:abstractNumId w:val="8"/>
  </w:num>
  <w:num w:numId="9">
    <w:abstractNumId w:val="5"/>
  </w:num>
  <w:num w:numId="10">
    <w:abstractNumId w:val="12"/>
  </w:num>
  <w:num w:numId="11">
    <w:abstractNumId w:val="13"/>
  </w:num>
  <w:num w:numId="12">
    <w:abstractNumId w:val="11"/>
  </w:num>
  <w:num w:numId="13">
    <w:abstractNumId w:val="17"/>
  </w:num>
  <w:num w:numId="14">
    <w:abstractNumId w:val="15"/>
  </w:num>
  <w:num w:numId="15">
    <w:abstractNumId w:val="21"/>
  </w:num>
  <w:num w:numId="16">
    <w:abstractNumId w:val="0"/>
  </w:num>
  <w:num w:numId="17">
    <w:abstractNumId w:val="43"/>
  </w:num>
  <w:num w:numId="18">
    <w:abstractNumId w:val="28"/>
  </w:num>
  <w:num w:numId="19">
    <w:abstractNumId w:val="2"/>
  </w:num>
  <w:num w:numId="20">
    <w:abstractNumId w:val="25"/>
  </w:num>
  <w:num w:numId="21">
    <w:abstractNumId w:val="39"/>
  </w:num>
  <w:num w:numId="22">
    <w:abstractNumId w:val="10"/>
  </w:num>
  <w:num w:numId="23">
    <w:abstractNumId w:val="37"/>
  </w:num>
  <w:num w:numId="24">
    <w:abstractNumId w:val="35"/>
  </w:num>
  <w:num w:numId="25">
    <w:abstractNumId w:val="9"/>
  </w:num>
  <w:num w:numId="26">
    <w:abstractNumId w:val="3"/>
  </w:num>
  <w:num w:numId="27">
    <w:abstractNumId w:val="29"/>
  </w:num>
  <w:num w:numId="28">
    <w:abstractNumId w:val="6"/>
  </w:num>
  <w:num w:numId="29">
    <w:abstractNumId w:val="44"/>
  </w:num>
  <w:num w:numId="30">
    <w:abstractNumId w:val="20"/>
  </w:num>
  <w:num w:numId="31">
    <w:abstractNumId w:val="40"/>
  </w:num>
  <w:num w:numId="32">
    <w:abstractNumId w:val="36"/>
  </w:num>
  <w:num w:numId="33">
    <w:abstractNumId w:val="42"/>
  </w:num>
  <w:num w:numId="34">
    <w:abstractNumId w:val="26"/>
  </w:num>
  <w:num w:numId="35">
    <w:abstractNumId w:val="14"/>
  </w:num>
  <w:num w:numId="36">
    <w:abstractNumId w:val="30"/>
  </w:num>
  <w:num w:numId="37">
    <w:abstractNumId w:val="7"/>
  </w:num>
  <w:num w:numId="38">
    <w:abstractNumId w:val="38"/>
  </w:num>
  <w:num w:numId="39">
    <w:abstractNumId w:val="23"/>
  </w:num>
  <w:num w:numId="40">
    <w:abstractNumId w:val="16"/>
  </w:num>
  <w:num w:numId="41">
    <w:abstractNumId w:val="31"/>
  </w:num>
  <w:num w:numId="42">
    <w:abstractNumId w:val="32"/>
  </w:num>
  <w:num w:numId="43">
    <w:abstractNumId w:val="24"/>
  </w:num>
  <w:num w:numId="44">
    <w:abstractNumId w:val="33"/>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94C27"/>
    <w:rsid w:val="0001563D"/>
    <w:rsid w:val="0001713C"/>
    <w:rsid w:val="0002386D"/>
    <w:rsid w:val="00026E44"/>
    <w:rsid w:val="000379B7"/>
    <w:rsid w:val="00041081"/>
    <w:rsid w:val="00052580"/>
    <w:rsid w:val="0005375A"/>
    <w:rsid w:val="00061585"/>
    <w:rsid w:val="0007271C"/>
    <w:rsid w:val="00073E91"/>
    <w:rsid w:val="0007556C"/>
    <w:rsid w:val="00081FD0"/>
    <w:rsid w:val="00083FA9"/>
    <w:rsid w:val="000A6EAD"/>
    <w:rsid w:val="000B51BB"/>
    <w:rsid w:val="000C5255"/>
    <w:rsid w:val="000C54AF"/>
    <w:rsid w:val="000D1184"/>
    <w:rsid w:val="000E514B"/>
    <w:rsid w:val="0010089E"/>
    <w:rsid w:val="00102047"/>
    <w:rsid w:val="00122BFA"/>
    <w:rsid w:val="00123AE0"/>
    <w:rsid w:val="001429FF"/>
    <w:rsid w:val="00143D23"/>
    <w:rsid w:val="001451C7"/>
    <w:rsid w:val="001624FA"/>
    <w:rsid w:val="00166AB8"/>
    <w:rsid w:val="00170226"/>
    <w:rsid w:val="00170810"/>
    <w:rsid w:val="0017268C"/>
    <w:rsid w:val="00177CC7"/>
    <w:rsid w:val="00184801"/>
    <w:rsid w:val="001849F2"/>
    <w:rsid w:val="00191150"/>
    <w:rsid w:val="00194391"/>
    <w:rsid w:val="001A25AF"/>
    <w:rsid w:val="001A6145"/>
    <w:rsid w:val="001A6A81"/>
    <w:rsid w:val="001A72E1"/>
    <w:rsid w:val="001B3432"/>
    <w:rsid w:val="001B5299"/>
    <w:rsid w:val="001B5C5C"/>
    <w:rsid w:val="001B75AD"/>
    <w:rsid w:val="001D084E"/>
    <w:rsid w:val="001D451F"/>
    <w:rsid w:val="001E1FF9"/>
    <w:rsid w:val="001E6690"/>
    <w:rsid w:val="001F1967"/>
    <w:rsid w:val="001F31D1"/>
    <w:rsid w:val="001F58DC"/>
    <w:rsid w:val="001F77C0"/>
    <w:rsid w:val="002010F6"/>
    <w:rsid w:val="00201D86"/>
    <w:rsid w:val="00211C3A"/>
    <w:rsid w:val="002243C2"/>
    <w:rsid w:val="0022441C"/>
    <w:rsid w:val="00224F49"/>
    <w:rsid w:val="002251D7"/>
    <w:rsid w:val="00231F36"/>
    <w:rsid w:val="0023323F"/>
    <w:rsid w:val="002338FF"/>
    <w:rsid w:val="00241E3B"/>
    <w:rsid w:val="00247553"/>
    <w:rsid w:val="002553FE"/>
    <w:rsid w:val="002614AC"/>
    <w:rsid w:val="00280C3B"/>
    <w:rsid w:val="00284C39"/>
    <w:rsid w:val="00293006"/>
    <w:rsid w:val="00294C27"/>
    <w:rsid w:val="002A307B"/>
    <w:rsid w:val="002B6217"/>
    <w:rsid w:val="002D054B"/>
    <w:rsid w:val="002D2E69"/>
    <w:rsid w:val="002D4CE6"/>
    <w:rsid w:val="002D74B1"/>
    <w:rsid w:val="002F0BFC"/>
    <w:rsid w:val="002F4A14"/>
    <w:rsid w:val="0030153F"/>
    <w:rsid w:val="00301DD6"/>
    <w:rsid w:val="00305141"/>
    <w:rsid w:val="00307B60"/>
    <w:rsid w:val="00310EA7"/>
    <w:rsid w:val="00315261"/>
    <w:rsid w:val="00320C2D"/>
    <w:rsid w:val="00323501"/>
    <w:rsid w:val="00326CA1"/>
    <w:rsid w:val="00335F71"/>
    <w:rsid w:val="0034797D"/>
    <w:rsid w:val="00350184"/>
    <w:rsid w:val="0035440A"/>
    <w:rsid w:val="00362675"/>
    <w:rsid w:val="0037156A"/>
    <w:rsid w:val="00372BE6"/>
    <w:rsid w:val="003753A9"/>
    <w:rsid w:val="003824E1"/>
    <w:rsid w:val="0038374C"/>
    <w:rsid w:val="003A67A8"/>
    <w:rsid w:val="003B08C9"/>
    <w:rsid w:val="003B1E37"/>
    <w:rsid w:val="003C3B72"/>
    <w:rsid w:val="003C488B"/>
    <w:rsid w:val="003D75A9"/>
    <w:rsid w:val="003E0965"/>
    <w:rsid w:val="003E18D6"/>
    <w:rsid w:val="003E2006"/>
    <w:rsid w:val="003E2F0A"/>
    <w:rsid w:val="003F2964"/>
    <w:rsid w:val="00400636"/>
    <w:rsid w:val="004012A2"/>
    <w:rsid w:val="00414C97"/>
    <w:rsid w:val="00433A56"/>
    <w:rsid w:val="004453D2"/>
    <w:rsid w:val="004603A5"/>
    <w:rsid w:val="00467AFF"/>
    <w:rsid w:val="00471F35"/>
    <w:rsid w:val="00472C58"/>
    <w:rsid w:val="004918AC"/>
    <w:rsid w:val="0049712D"/>
    <w:rsid w:val="004A131E"/>
    <w:rsid w:val="004A6AE4"/>
    <w:rsid w:val="004B4629"/>
    <w:rsid w:val="004B73CD"/>
    <w:rsid w:val="004D66F8"/>
    <w:rsid w:val="004D6B56"/>
    <w:rsid w:val="004E2BDA"/>
    <w:rsid w:val="004E7C16"/>
    <w:rsid w:val="004F543E"/>
    <w:rsid w:val="004F7E1C"/>
    <w:rsid w:val="005013EF"/>
    <w:rsid w:val="005028B3"/>
    <w:rsid w:val="00502D4A"/>
    <w:rsid w:val="00515DFE"/>
    <w:rsid w:val="0051688C"/>
    <w:rsid w:val="0052037B"/>
    <w:rsid w:val="00520607"/>
    <w:rsid w:val="00527599"/>
    <w:rsid w:val="005305D1"/>
    <w:rsid w:val="00531BB5"/>
    <w:rsid w:val="005379AE"/>
    <w:rsid w:val="00537C12"/>
    <w:rsid w:val="00540DE4"/>
    <w:rsid w:val="005411BC"/>
    <w:rsid w:val="00547435"/>
    <w:rsid w:val="00551092"/>
    <w:rsid w:val="005510CB"/>
    <w:rsid w:val="00552E5B"/>
    <w:rsid w:val="00556215"/>
    <w:rsid w:val="00570683"/>
    <w:rsid w:val="00573EB7"/>
    <w:rsid w:val="0057799D"/>
    <w:rsid w:val="0058334A"/>
    <w:rsid w:val="005833A8"/>
    <w:rsid w:val="00585BC3"/>
    <w:rsid w:val="0059467C"/>
    <w:rsid w:val="00594E73"/>
    <w:rsid w:val="00597F6F"/>
    <w:rsid w:val="005A285B"/>
    <w:rsid w:val="005A3EFF"/>
    <w:rsid w:val="005A4F9C"/>
    <w:rsid w:val="005B52BF"/>
    <w:rsid w:val="005B5A85"/>
    <w:rsid w:val="005D04C1"/>
    <w:rsid w:val="005D554F"/>
    <w:rsid w:val="005E4AD3"/>
    <w:rsid w:val="005E7B92"/>
    <w:rsid w:val="005F3F75"/>
    <w:rsid w:val="00605A3C"/>
    <w:rsid w:val="00605E25"/>
    <w:rsid w:val="0061106B"/>
    <w:rsid w:val="00623B74"/>
    <w:rsid w:val="00632B11"/>
    <w:rsid w:val="00633E38"/>
    <w:rsid w:val="00634B5D"/>
    <w:rsid w:val="00653E5F"/>
    <w:rsid w:val="006563EA"/>
    <w:rsid w:val="00657CDF"/>
    <w:rsid w:val="00661760"/>
    <w:rsid w:val="00661841"/>
    <w:rsid w:val="00662F56"/>
    <w:rsid w:val="006719D7"/>
    <w:rsid w:val="006814F2"/>
    <w:rsid w:val="00681599"/>
    <w:rsid w:val="006921C3"/>
    <w:rsid w:val="006939F6"/>
    <w:rsid w:val="00694CA8"/>
    <w:rsid w:val="006A6035"/>
    <w:rsid w:val="006B4401"/>
    <w:rsid w:val="006D2179"/>
    <w:rsid w:val="006D3289"/>
    <w:rsid w:val="006E290C"/>
    <w:rsid w:val="006E2BD5"/>
    <w:rsid w:val="006E4669"/>
    <w:rsid w:val="006E6CBB"/>
    <w:rsid w:val="006F2ACD"/>
    <w:rsid w:val="006F3061"/>
    <w:rsid w:val="006F4C03"/>
    <w:rsid w:val="007015EA"/>
    <w:rsid w:val="0070254C"/>
    <w:rsid w:val="00703005"/>
    <w:rsid w:val="00704DC3"/>
    <w:rsid w:val="00707731"/>
    <w:rsid w:val="00716611"/>
    <w:rsid w:val="0073223B"/>
    <w:rsid w:val="00733A07"/>
    <w:rsid w:val="007343E5"/>
    <w:rsid w:val="0074333B"/>
    <w:rsid w:val="00747893"/>
    <w:rsid w:val="00760D70"/>
    <w:rsid w:val="00766A1A"/>
    <w:rsid w:val="0076766C"/>
    <w:rsid w:val="0076794C"/>
    <w:rsid w:val="007713E8"/>
    <w:rsid w:val="0079345D"/>
    <w:rsid w:val="007A0B02"/>
    <w:rsid w:val="007A4596"/>
    <w:rsid w:val="007A4775"/>
    <w:rsid w:val="007A4E00"/>
    <w:rsid w:val="007D1611"/>
    <w:rsid w:val="007D56A3"/>
    <w:rsid w:val="007F0446"/>
    <w:rsid w:val="0080022D"/>
    <w:rsid w:val="00801AED"/>
    <w:rsid w:val="0082269A"/>
    <w:rsid w:val="008244F3"/>
    <w:rsid w:val="00824BCE"/>
    <w:rsid w:val="00832AB5"/>
    <w:rsid w:val="00841DAD"/>
    <w:rsid w:val="00842C6F"/>
    <w:rsid w:val="00855420"/>
    <w:rsid w:val="008577AB"/>
    <w:rsid w:val="008610F8"/>
    <w:rsid w:val="008632C8"/>
    <w:rsid w:val="0087616E"/>
    <w:rsid w:val="00876327"/>
    <w:rsid w:val="0088411D"/>
    <w:rsid w:val="00895A7C"/>
    <w:rsid w:val="00897174"/>
    <w:rsid w:val="008A5387"/>
    <w:rsid w:val="008A5598"/>
    <w:rsid w:val="008A5E7F"/>
    <w:rsid w:val="008A70A7"/>
    <w:rsid w:val="008B0865"/>
    <w:rsid w:val="008B153C"/>
    <w:rsid w:val="008B25FC"/>
    <w:rsid w:val="008B6948"/>
    <w:rsid w:val="008C0825"/>
    <w:rsid w:val="008C3ECF"/>
    <w:rsid w:val="008C453A"/>
    <w:rsid w:val="008C7EA1"/>
    <w:rsid w:val="008D5DD9"/>
    <w:rsid w:val="008E614C"/>
    <w:rsid w:val="008E64DC"/>
    <w:rsid w:val="008F0E8F"/>
    <w:rsid w:val="008F5733"/>
    <w:rsid w:val="008F7711"/>
    <w:rsid w:val="00921982"/>
    <w:rsid w:val="00926A8C"/>
    <w:rsid w:val="00926CC7"/>
    <w:rsid w:val="00954209"/>
    <w:rsid w:val="009738A7"/>
    <w:rsid w:val="00975BC4"/>
    <w:rsid w:val="00976C88"/>
    <w:rsid w:val="00980E2D"/>
    <w:rsid w:val="009963A6"/>
    <w:rsid w:val="009969B9"/>
    <w:rsid w:val="009A0C18"/>
    <w:rsid w:val="009B6545"/>
    <w:rsid w:val="009B7A49"/>
    <w:rsid w:val="009D6A85"/>
    <w:rsid w:val="009E60F9"/>
    <w:rsid w:val="009F6EE9"/>
    <w:rsid w:val="00A01D2E"/>
    <w:rsid w:val="00A03059"/>
    <w:rsid w:val="00A152E6"/>
    <w:rsid w:val="00A17256"/>
    <w:rsid w:val="00A376AE"/>
    <w:rsid w:val="00A51F34"/>
    <w:rsid w:val="00A532BE"/>
    <w:rsid w:val="00A54847"/>
    <w:rsid w:val="00A564AA"/>
    <w:rsid w:val="00A61D26"/>
    <w:rsid w:val="00A66840"/>
    <w:rsid w:val="00A71667"/>
    <w:rsid w:val="00A72A1C"/>
    <w:rsid w:val="00A74566"/>
    <w:rsid w:val="00A92DE9"/>
    <w:rsid w:val="00A939E6"/>
    <w:rsid w:val="00AA1CBA"/>
    <w:rsid w:val="00AA3B9C"/>
    <w:rsid w:val="00AB6F43"/>
    <w:rsid w:val="00AE383E"/>
    <w:rsid w:val="00AE594D"/>
    <w:rsid w:val="00AE62E2"/>
    <w:rsid w:val="00AF4196"/>
    <w:rsid w:val="00B0105D"/>
    <w:rsid w:val="00B0364F"/>
    <w:rsid w:val="00B0605E"/>
    <w:rsid w:val="00B0758B"/>
    <w:rsid w:val="00B15926"/>
    <w:rsid w:val="00B203AD"/>
    <w:rsid w:val="00B4388D"/>
    <w:rsid w:val="00B61530"/>
    <w:rsid w:val="00B742F9"/>
    <w:rsid w:val="00B75502"/>
    <w:rsid w:val="00B75A87"/>
    <w:rsid w:val="00B82DEC"/>
    <w:rsid w:val="00B82E8A"/>
    <w:rsid w:val="00BA1EB9"/>
    <w:rsid w:val="00BB0903"/>
    <w:rsid w:val="00BB2C92"/>
    <w:rsid w:val="00BD38A0"/>
    <w:rsid w:val="00BD6F52"/>
    <w:rsid w:val="00BF1800"/>
    <w:rsid w:val="00BF3269"/>
    <w:rsid w:val="00C122A7"/>
    <w:rsid w:val="00C12789"/>
    <w:rsid w:val="00C221D1"/>
    <w:rsid w:val="00C25248"/>
    <w:rsid w:val="00C31A97"/>
    <w:rsid w:val="00C40791"/>
    <w:rsid w:val="00C42AF6"/>
    <w:rsid w:val="00C43267"/>
    <w:rsid w:val="00C60606"/>
    <w:rsid w:val="00C64102"/>
    <w:rsid w:val="00C65854"/>
    <w:rsid w:val="00C66F6B"/>
    <w:rsid w:val="00C71363"/>
    <w:rsid w:val="00C726F0"/>
    <w:rsid w:val="00C775A9"/>
    <w:rsid w:val="00C8017A"/>
    <w:rsid w:val="00C83B6C"/>
    <w:rsid w:val="00C94813"/>
    <w:rsid w:val="00C96B62"/>
    <w:rsid w:val="00CA42F3"/>
    <w:rsid w:val="00CA60D0"/>
    <w:rsid w:val="00CA7074"/>
    <w:rsid w:val="00CB502E"/>
    <w:rsid w:val="00CD3572"/>
    <w:rsid w:val="00CD605F"/>
    <w:rsid w:val="00CE07FA"/>
    <w:rsid w:val="00CE141A"/>
    <w:rsid w:val="00CE3357"/>
    <w:rsid w:val="00CE6E2A"/>
    <w:rsid w:val="00CF127F"/>
    <w:rsid w:val="00CF2BC8"/>
    <w:rsid w:val="00CF76BE"/>
    <w:rsid w:val="00D01514"/>
    <w:rsid w:val="00D0340A"/>
    <w:rsid w:val="00D1544F"/>
    <w:rsid w:val="00D165E7"/>
    <w:rsid w:val="00D27693"/>
    <w:rsid w:val="00D35735"/>
    <w:rsid w:val="00D402D5"/>
    <w:rsid w:val="00D43A65"/>
    <w:rsid w:val="00D47E44"/>
    <w:rsid w:val="00D51933"/>
    <w:rsid w:val="00D57402"/>
    <w:rsid w:val="00D657B8"/>
    <w:rsid w:val="00D66639"/>
    <w:rsid w:val="00D66C05"/>
    <w:rsid w:val="00D66DD4"/>
    <w:rsid w:val="00D73E66"/>
    <w:rsid w:val="00D7409A"/>
    <w:rsid w:val="00D81779"/>
    <w:rsid w:val="00D82C7E"/>
    <w:rsid w:val="00D8479F"/>
    <w:rsid w:val="00D93D40"/>
    <w:rsid w:val="00D94C0D"/>
    <w:rsid w:val="00D97B4B"/>
    <w:rsid w:val="00DA2E7C"/>
    <w:rsid w:val="00DA57D8"/>
    <w:rsid w:val="00DA6297"/>
    <w:rsid w:val="00DA645F"/>
    <w:rsid w:val="00DB3197"/>
    <w:rsid w:val="00DB655A"/>
    <w:rsid w:val="00DC6604"/>
    <w:rsid w:val="00DD3737"/>
    <w:rsid w:val="00DD5A95"/>
    <w:rsid w:val="00DE02B1"/>
    <w:rsid w:val="00DE79A7"/>
    <w:rsid w:val="00DF192F"/>
    <w:rsid w:val="00DF388B"/>
    <w:rsid w:val="00E12F08"/>
    <w:rsid w:val="00E2248F"/>
    <w:rsid w:val="00E26483"/>
    <w:rsid w:val="00E3429B"/>
    <w:rsid w:val="00E40B52"/>
    <w:rsid w:val="00E5063C"/>
    <w:rsid w:val="00E5102B"/>
    <w:rsid w:val="00E5231B"/>
    <w:rsid w:val="00E540FA"/>
    <w:rsid w:val="00E57E58"/>
    <w:rsid w:val="00E63D10"/>
    <w:rsid w:val="00E6653C"/>
    <w:rsid w:val="00E73522"/>
    <w:rsid w:val="00E774DB"/>
    <w:rsid w:val="00E87653"/>
    <w:rsid w:val="00E90EDC"/>
    <w:rsid w:val="00E91D11"/>
    <w:rsid w:val="00E97DE6"/>
    <w:rsid w:val="00EB1AA3"/>
    <w:rsid w:val="00EF10EA"/>
    <w:rsid w:val="00F100DA"/>
    <w:rsid w:val="00F10E0B"/>
    <w:rsid w:val="00F17409"/>
    <w:rsid w:val="00F17EFA"/>
    <w:rsid w:val="00F2278B"/>
    <w:rsid w:val="00F30579"/>
    <w:rsid w:val="00F315A2"/>
    <w:rsid w:val="00F37C65"/>
    <w:rsid w:val="00F43C9F"/>
    <w:rsid w:val="00F517A9"/>
    <w:rsid w:val="00F545CA"/>
    <w:rsid w:val="00F67B3B"/>
    <w:rsid w:val="00F75309"/>
    <w:rsid w:val="00F82891"/>
    <w:rsid w:val="00F84752"/>
    <w:rsid w:val="00F8779E"/>
    <w:rsid w:val="00F93F91"/>
    <w:rsid w:val="00FA1F38"/>
    <w:rsid w:val="00FA7129"/>
    <w:rsid w:val="00FB3D74"/>
    <w:rsid w:val="00FB4B6C"/>
    <w:rsid w:val="00FB79A8"/>
    <w:rsid w:val="00FB7B43"/>
    <w:rsid w:val="00FC20B6"/>
    <w:rsid w:val="00FE037C"/>
    <w:rsid w:val="00FE14BE"/>
    <w:rsid w:val="00FE32B7"/>
    <w:rsid w:val="00FF0788"/>
    <w:rsid w:val="00FF266A"/>
    <w:rsid w:val="00FF2A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10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5420"/>
    <w:rPr>
      <w:rFonts w:ascii="Tahoma" w:hAnsi="Tahoma" w:cs="Tahoma"/>
      <w:sz w:val="16"/>
      <w:szCs w:val="16"/>
    </w:rPr>
  </w:style>
  <w:style w:type="table" w:styleId="TableGrid">
    <w:name w:val="Table Grid"/>
    <w:basedOn w:val="TableNormal"/>
    <w:rsid w:val="00855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15DFE"/>
    <w:rPr>
      <w:color w:val="0000FF"/>
      <w:u w:val="single"/>
    </w:rPr>
  </w:style>
  <w:style w:type="character" w:styleId="Emphasis">
    <w:name w:val="Emphasis"/>
    <w:basedOn w:val="DefaultParagraphFont"/>
    <w:qFormat/>
    <w:rsid w:val="00E57E58"/>
    <w:rPr>
      <w:b/>
      <w:bCs/>
      <w:i w:val="0"/>
      <w:iCs w:val="0"/>
    </w:rPr>
  </w:style>
  <w:style w:type="paragraph" w:styleId="Header">
    <w:name w:val="header"/>
    <w:basedOn w:val="Normal"/>
    <w:rsid w:val="00B61530"/>
    <w:pPr>
      <w:tabs>
        <w:tab w:val="center" w:pos="4320"/>
        <w:tab w:val="right" w:pos="8640"/>
      </w:tabs>
    </w:pPr>
  </w:style>
  <w:style w:type="paragraph" w:styleId="Footer">
    <w:name w:val="footer"/>
    <w:basedOn w:val="Normal"/>
    <w:link w:val="FooterChar"/>
    <w:uiPriority w:val="99"/>
    <w:rsid w:val="00B61530"/>
    <w:pPr>
      <w:tabs>
        <w:tab w:val="center" w:pos="4320"/>
        <w:tab w:val="right" w:pos="8640"/>
      </w:tabs>
    </w:pPr>
  </w:style>
  <w:style w:type="paragraph" w:styleId="FootnoteText">
    <w:name w:val="footnote text"/>
    <w:basedOn w:val="Normal"/>
    <w:semiHidden/>
    <w:rsid w:val="005F3F75"/>
    <w:rPr>
      <w:sz w:val="20"/>
      <w:szCs w:val="20"/>
    </w:rPr>
  </w:style>
  <w:style w:type="character" w:styleId="FootnoteReference">
    <w:name w:val="footnote reference"/>
    <w:basedOn w:val="DefaultParagraphFont"/>
    <w:semiHidden/>
    <w:rsid w:val="005F3F75"/>
    <w:rPr>
      <w:vertAlign w:val="superscript"/>
    </w:rPr>
  </w:style>
  <w:style w:type="character" w:styleId="CommentReference">
    <w:name w:val="annotation reference"/>
    <w:basedOn w:val="DefaultParagraphFont"/>
    <w:semiHidden/>
    <w:rsid w:val="00C83B6C"/>
    <w:rPr>
      <w:sz w:val="16"/>
      <w:szCs w:val="16"/>
    </w:rPr>
  </w:style>
  <w:style w:type="paragraph" w:styleId="CommentText">
    <w:name w:val="annotation text"/>
    <w:basedOn w:val="Normal"/>
    <w:semiHidden/>
    <w:rsid w:val="00C83B6C"/>
    <w:rPr>
      <w:sz w:val="20"/>
      <w:szCs w:val="20"/>
    </w:rPr>
  </w:style>
  <w:style w:type="paragraph" w:styleId="CommentSubject">
    <w:name w:val="annotation subject"/>
    <w:basedOn w:val="CommentText"/>
    <w:next w:val="CommentText"/>
    <w:semiHidden/>
    <w:rsid w:val="00C83B6C"/>
    <w:rPr>
      <w:b/>
      <w:bCs/>
    </w:rPr>
  </w:style>
  <w:style w:type="character" w:customStyle="1" w:styleId="FooterChar">
    <w:name w:val="Footer Char"/>
    <w:basedOn w:val="DefaultParagraphFont"/>
    <w:link w:val="Footer"/>
    <w:uiPriority w:val="99"/>
    <w:rsid w:val="00C12789"/>
    <w:rPr>
      <w:sz w:val="24"/>
      <w:szCs w:val="24"/>
    </w:rPr>
  </w:style>
  <w:style w:type="paragraph" w:styleId="NoSpacing">
    <w:name w:val="No Spacing"/>
    <w:uiPriority w:val="99"/>
    <w:qFormat/>
    <w:rsid w:val="00C42AF6"/>
    <w:rPr>
      <w:rFonts w:ascii="Calibri" w:eastAsia="Calibri" w:hAnsi="Calibri" w:cs="Calibri"/>
      <w:sz w:val="22"/>
      <w:szCs w:val="22"/>
      <w:lang w:val="en-US" w:eastAsia="en-US"/>
    </w:rPr>
  </w:style>
  <w:style w:type="paragraph" w:styleId="ListParagraph">
    <w:name w:val="List Paragraph"/>
    <w:basedOn w:val="Normal"/>
    <w:uiPriority w:val="34"/>
    <w:qFormat/>
    <w:rsid w:val="009A0C18"/>
    <w:pPr>
      <w:spacing w:after="200" w:line="276" w:lineRule="auto"/>
      <w:ind w:left="720"/>
      <w:contextualSpacing/>
    </w:pPr>
    <w:rPr>
      <w:rFonts w:ascii="Calibri" w:hAnsi="Calibri"/>
      <w:sz w:val="22"/>
      <w:szCs w:val="22"/>
    </w:rPr>
  </w:style>
  <w:style w:type="character" w:customStyle="1" w:styleId="hps">
    <w:name w:val="hps"/>
    <w:basedOn w:val="DefaultParagraphFont"/>
    <w:rsid w:val="00194391"/>
  </w:style>
</w:styles>
</file>

<file path=word/webSettings.xml><?xml version="1.0" encoding="utf-8"?>
<w:webSettings xmlns:r="http://schemas.openxmlformats.org/officeDocument/2006/relationships" xmlns:w="http://schemas.openxmlformats.org/wordprocessingml/2006/main">
  <w:divs>
    <w:div w:id="550266420">
      <w:bodyDiv w:val="1"/>
      <w:marLeft w:val="0"/>
      <w:marRight w:val="0"/>
      <w:marTop w:val="0"/>
      <w:marBottom w:val="0"/>
      <w:divBdr>
        <w:top w:val="none" w:sz="0" w:space="0" w:color="auto"/>
        <w:left w:val="none" w:sz="0" w:space="0" w:color="auto"/>
        <w:bottom w:val="none" w:sz="0" w:space="0" w:color="auto"/>
        <w:right w:val="none" w:sz="0" w:space="0" w:color="auto"/>
      </w:divBdr>
      <w:divsChild>
        <w:div w:id="924919985">
          <w:marLeft w:val="0"/>
          <w:marRight w:val="0"/>
          <w:marTop w:val="0"/>
          <w:marBottom w:val="0"/>
          <w:divBdr>
            <w:top w:val="none" w:sz="0" w:space="0" w:color="auto"/>
            <w:left w:val="none" w:sz="0" w:space="0" w:color="auto"/>
            <w:bottom w:val="none" w:sz="0" w:space="0" w:color="auto"/>
            <w:right w:val="none" w:sz="0" w:space="0" w:color="auto"/>
          </w:divBdr>
          <w:divsChild>
            <w:div w:id="570385783">
              <w:marLeft w:val="0"/>
              <w:marRight w:val="0"/>
              <w:marTop w:val="0"/>
              <w:marBottom w:val="0"/>
              <w:divBdr>
                <w:top w:val="none" w:sz="0" w:space="0" w:color="auto"/>
                <w:left w:val="none" w:sz="0" w:space="0" w:color="auto"/>
                <w:bottom w:val="none" w:sz="0" w:space="0" w:color="auto"/>
                <w:right w:val="none" w:sz="0" w:space="0" w:color="auto"/>
              </w:divBdr>
              <w:divsChild>
                <w:div w:id="743650866">
                  <w:marLeft w:val="0"/>
                  <w:marRight w:val="0"/>
                  <w:marTop w:val="0"/>
                  <w:marBottom w:val="0"/>
                  <w:divBdr>
                    <w:top w:val="none" w:sz="0" w:space="0" w:color="auto"/>
                    <w:left w:val="none" w:sz="0" w:space="0" w:color="auto"/>
                    <w:bottom w:val="none" w:sz="0" w:space="0" w:color="auto"/>
                    <w:right w:val="none" w:sz="0" w:space="0" w:color="auto"/>
                  </w:divBdr>
                  <w:divsChild>
                    <w:div w:id="1723559057">
                      <w:marLeft w:val="0"/>
                      <w:marRight w:val="0"/>
                      <w:marTop w:val="0"/>
                      <w:marBottom w:val="0"/>
                      <w:divBdr>
                        <w:top w:val="none" w:sz="0" w:space="0" w:color="auto"/>
                        <w:left w:val="none" w:sz="0" w:space="0" w:color="auto"/>
                        <w:bottom w:val="none" w:sz="0" w:space="0" w:color="auto"/>
                        <w:right w:val="none" w:sz="0" w:space="0" w:color="auto"/>
                      </w:divBdr>
                      <w:divsChild>
                        <w:div w:id="1247226422">
                          <w:marLeft w:val="0"/>
                          <w:marRight w:val="0"/>
                          <w:marTop w:val="0"/>
                          <w:marBottom w:val="0"/>
                          <w:divBdr>
                            <w:top w:val="none" w:sz="0" w:space="0" w:color="auto"/>
                            <w:left w:val="none" w:sz="0" w:space="0" w:color="auto"/>
                            <w:bottom w:val="none" w:sz="0" w:space="0" w:color="auto"/>
                            <w:right w:val="none" w:sz="0" w:space="0" w:color="auto"/>
                          </w:divBdr>
                          <w:divsChild>
                            <w:div w:id="1934320462">
                              <w:marLeft w:val="0"/>
                              <w:marRight w:val="0"/>
                              <w:marTop w:val="0"/>
                              <w:marBottom w:val="0"/>
                              <w:divBdr>
                                <w:top w:val="none" w:sz="0" w:space="0" w:color="auto"/>
                                <w:left w:val="none" w:sz="0" w:space="0" w:color="auto"/>
                                <w:bottom w:val="none" w:sz="0" w:space="0" w:color="auto"/>
                                <w:right w:val="none" w:sz="0" w:space="0" w:color="auto"/>
                              </w:divBdr>
                              <w:divsChild>
                                <w:div w:id="647637655">
                                  <w:marLeft w:val="0"/>
                                  <w:marRight w:val="0"/>
                                  <w:marTop w:val="0"/>
                                  <w:marBottom w:val="0"/>
                                  <w:divBdr>
                                    <w:top w:val="single" w:sz="4" w:space="0" w:color="F5F5F5"/>
                                    <w:left w:val="single" w:sz="4" w:space="0" w:color="F5F5F5"/>
                                    <w:bottom w:val="single" w:sz="4" w:space="0" w:color="F5F5F5"/>
                                    <w:right w:val="single" w:sz="4" w:space="0" w:color="F5F5F5"/>
                                  </w:divBdr>
                                  <w:divsChild>
                                    <w:div w:id="430199501">
                                      <w:marLeft w:val="0"/>
                                      <w:marRight w:val="0"/>
                                      <w:marTop w:val="0"/>
                                      <w:marBottom w:val="0"/>
                                      <w:divBdr>
                                        <w:top w:val="none" w:sz="0" w:space="0" w:color="auto"/>
                                        <w:left w:val="none" w:sz="0" w:space="0" w:color="auto"/>
                                        <w:bottom w:val="none" w:sz="0" w:space="0" w:color="auto"/>
                                        <w:right w:val="none" w:sz="0" w:space="0" w:color="auto"/>
                                      </w:divBdr>
                                      <w:divsChild>
                                        <w:div w:id="1080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760193">
      <w:bodyDiv w:val="1"/>
      <w:marLeft w:val="0"/>
      <w:marRight w:val="0"/>
      <w:marTop w:val="0"/>
      <w:marBottom w:val="0"/>
      <w:divBdr>
        <w:top w:val="none" w:sz="0" w:space="0" w:color="auto"/>
        <w:left w:val="none" w:sz="0" w:space="0" w:color="auto"/>
        <w:bottom w:val="none" w:sz="0" w:space="0" w:color="auto"/>
        <w:right w:val="none" w:sz="0" w:space="0" w:color="auto"/>
      </w:divBdr>
      <w:divsChild>
        <w:div w:id="1209302407">
          <w:marLeft w:val="0"/>
          <w:marRight w:val="0"/>
          <w:marTop w:val="0"/>
          <w:marBottom w:val="0"/>
          <w:divBdr>
            <w:top w:val="none" w:sz="0" w:space="0" w:color="auto"/>
            <w:left w:val="none" w:sz="0" w:space="0" w:color="auto"/>
            <w:bottom w:val="none" w:sz="0" w:space="0" w:color="auto"/>
            <w:right w:val="none" w:sz="0" w:space="0" w:color="auto"/>
          </w:divBdr>
          <w:divsChild>
            <w:div w:id="1065756336">
              <w:marLeft w:val="0"/>
              <w:marRight w:val="0"/>
              <w:marTop w:val="0"/>
              <w:marBottom w:val="0"/>
              <w:divBdr>
                <w:top w:val="none" w:sz="0" w:space="0" w:color="auto"/>
                <w:left w:val="none" w:sz="0" w:space="0" w:color="auto"/>
                <w:bottom w:val="none" w:sz="0" w:space="0" w:color="auto"/>
                <w:right w:val="none" w:sz="0" w:space="0" w:color="auto"/>
              </w:divBdr>
              <w:divsChild>
                <w:div w:id="876160895">
                  <w:marLeft w:val="0"/>
                  <w:marRight w:val="0"/>
                  <w:marTop w:val="0"/>
                  <w:marBottom w:val="0"/>
                  <w:divBdr>
                    <w:top w:val="none" w:sz="0" w:space="0" w:color="auto"/>
                    <w:left w:val="none" w:sz="0" w:space="0" w:color="auto"/>
                    <w:bottom w:val="none" w:sz="0" w:space="0" w:color="auto"/>
                    <w:right w:val="none" w:sz="0" w:space="0" w:color="auto"/>
                  </w:divBdr>
                  <w:divsChild>
                    <w:div w:id="1385522788">
                      <w:marLeft w:val="0"/>
                      <w:marRight w:val="0"/>
                      <w:marTop w:val="0"/>
                      <w:marBottom w:val="0"/>
                      <w:divBdr>
                        <w:top w:val="none" w:sz="0" w:space="0" w:color="auto"/>
                        <w:left w:val="none" w:sz="0" w:space="0" w:color="auto"/>
                        <w:bottom w:val="none" w:sz="0" w:space="0" w:color="auto"/>
                        <w:right w:val="none" w:sz="0" w:space="0" w:color="auto"/>
                      </w:divBdr>
                      <w:divsChild>
                        <w:div w:id="440341721">
                          <w:marLeft w:val="0"/>
                          <w:marRight w:val="0"/>
                          <w:marTop w:val="0"/>
                          <w:marBottom w:val="0"/>
                          <w:divBdr>
                            <w:top w:val="none" w:sz="0" w:space="0" w:color="auto"/>
                            <w:left w:val="none" w:sz="0" w:space="0" w:color="auto"/>
                            <w:bottom w:val="none" w:sz="0" w:space="0" w:color="auto"/>
                            <w:right w:val="none" w:sz="0" w:space="0" w:color="auto"/>
                          </w:divBdr>
                          <w:divsChild>
                            <w:div w:id="1014847942">
                              <w:marLeft w:val="0"/>
                              <w:marRight w:val="0"/>
                              <w:marTop w:val="0"/>
                              <w:marBottom w:val="0"/>
                              <w:divBdr>
                                <w:top w:val="none" w:sz="0" w:space="0" w:color="auto"/>
                                <w:left w:val="none" w:sz="0" w:space="0" w:color="auto"/>
                                <w:bottom w:val="none" w:sz="0" w:space="0" w:color="auto"/>
                                <w:right w:val="none" w:sz="0" w:space="0" w:color="auto"/>
                              </w:divBdr>
                              <w:divsChild>
                                <w:div w:id="1028412633">
                                  <w:marLeft w:val="0"/>
                                  <w:marRight w:val="0"/>
                                  <w:marTop w:val="0"/>
                                  <w:marBottom w:val="0"/>
                                  <w:divBdr>
                                    <w:top w:val="single" w:sz="4" w:space="0" w:color="F5F5F5"/>
                                    <w:left w:val="single" w:sz="4" w:space="0" w:color="F5F5F5"/>
                                    <w:bottom w:val="single" w:sz="4" w:space="0" w:color="F5F5F5"/>
                                    <w:right w:val="single" w:sz="4" w:space="0" w:color="F5F5F5"/>
                                  </w:divBdr>
                                  <w:divsChild>
                                    <w:div w:id="487937779">
                                      <w:marLeft w:val="0"/>
                                      <w:marRight w:val="0"/>
                                      <w:marTop w:val="0"/>
                                      <w:marBottom w:val="0"/>
                                      <w:divBdr>
                                        <w:top w:val="none" w:sz="0" w:space="0" w:color="auto"/>
                                        <w:left w:val="none" w:sz="0" w:space="0" w:color="auto"/>
                                        <w:bottom w:val="none" w:sz="0" w:space="0" w:color="auto"/>
                                        <w:right w:val="none" w:sz="0" w:space="0" w:color="auto"/>
                                      </w:divBdr>
                                      <w:divsChild>
                                        <w:div w:id="3069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ilroy@citiesallian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ongmbassi@yahoo.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milroy@citiesalliance.org" TargetMode="External"/><Relationship Id="rId4" Type="http://schemas.openxmlformats.org/officeDocument/2006/relationships/settings" Target="settings.xml"/><Relationship Id="rId9" Type="http://schemas.openxmlformats.org/officeDocument/2006/relationships/hyperlink" Target="mailto:elongmbassi@yahoo.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3D6C-0FE3-467A-8F96-24590BF3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3379</Words>
  <Characters>20844</Characters>
  <Application>Microsoft Office Word</Application>
  <DocSecurity>0</DocSecurity>
  <Lines>173</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Cities Alliance – Joint Work Programme</vt:lpstr>
      <vt:lpstr>Cities Alliance – Joint Work Programme</vt:lpstr>
    </vt:vector>
  </TitlesOfParts>
  <Company>The World Bank Group</Company>
  <LinksUpToDate>false</LinksUpToDate>
  <CharactersWithSpaces>24175</CharactersWithSpaces>
  <SharedDoc>false</SharedDoc>
  <HLinks>
    <vt:vector size="24" baseType="variant">
      <vt:variant>
        <vt:i4>4849782</vt:i4>
      </vt:variant>
      <vt:variant>
        <vt:i4>9</vt:i4>
      </vt:variant>
      <vt:variant>
        <vt:i4>0</vt:i4>
      </vt:variant>
      <vt:variant>
        <vt:i4>5</vt:i4>
      </vt:variant>
      <vt:variant>
        <vt:lpwstr>mailto:kmilroy@citiesalliance.org</vt:lpwstr>
      </vt:variant>
      <vt:variant>
        <vt:lpwstr/>
      </vt:variant>
      <vt:variant>
        <vt:i4>7274583</vt:i4>
      </vt:variant>
      <vt:variant>
        <vt:i4>6</vt:i4>
      </vt:variant>
      <vt:variant>
        <vt:i4>0</vt:i4>
      </vt:variant>
      <vt:variant>
        <vt:i4>5</vt:i4>
      </vt:variant>
      <vt:variant>
        <vt:lpwstr>mailto:elongmbassi@yahoo.fr</vt:lpwstr>
      </vt:variant>
      <vt:variant>
        <vt:lpwstr/>
      </vt:variant>
      <vt:variant>
        <vt:i4>4849782</vt:i4>
      </vt:variant>
      <vt:variant>
        <vt:i4>3</vt:i4>
      </vt:variant>
      <vt:variant>
        <vt:i4>0</vt:i4>
      </vt:variant>
      <vt:variant>
        <vt:i4>5</vt:i4>
      </vt:variant>
      <vt:variant>
        <vt:lpwstr>mailto:kmilroy@citiesalliance.org</vt:lpwstr>
      </vt:variant>
      <vt:variant>
        <vt:lpwstr/>
      </vt:variant>
      <vt:variant>
        <vt:i4>7274583</vt:i4>
      </vt:variant>
      <vt:variant>
        <vt:i4>0</vt:i4>
      </vt:variant>
      <vt:variant>
        <vt:i4>0</vt:i4>
      </vt:variant>
      <vt:variant>
        <vt:i4>5</vt:i4>
      </vt:variant>
      <vt:variant>
        <vt:lpwstr>mailto:elongmbassi@yahoo.fr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Cities Alliance – Joint Work Programme</dc:title>
  <dc:creator>WB77427</dc:creator>
  <cp:lastModifiedBy>wb77427</cp:lastModifiedBy>
  <cp:revision>3</cp:revision>
  <cp:lastPrinted>2012-02-24T10:20:00Z</cp:lastPrinted>
  <dcterms:created xsi:type="dcterms:W3CDTF">2012-03-07T21:24:00Z</dcterms:created>
  <dcterms:modified xsi:type="dcterms:W3CDTF">2012-03-07T21:25:00Z</dcterms:modified>
</cp:coreProperties>
</file>